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p>
    <w:p>
      <w:pPr>
        <w:spacing w:after="60" w:before="0"/>
        <w:jc w:val="center"/>
      </w:pPr>
      <w:r>
        <w:rPr>
          <w:rFonts w:ascii="Arial" w:cs="Arial" w:eastAsia="Arial" w:hAnsi="Arial"/>
          <w:b/>
          <w:bCs/>
          <w:color w:val="0D2B4E"/>
          <w:sz w:val="52"/>
          <w:szCs w:val="52"/>
        </w:rPr>
        <w:t xml:space="preserve">SUVA HARBOUR FOUNDATION</w:t>
      </w:r>
    </w:p>
    <w:p>
      <w:pPr>
        <w:spacing w:after="120" w:before="0"/>
        <w:jc w:val="center"/>
      </w:pPr>
      <w:r>
        <w:rPr>
          <w:rFonts w:ascii="Arial" w:cs="Arial" w:eastAsia="Arial" w:hAnsi="Arial"/>
          <w:b w:val="false"/>
          <w:bCs w:val="false"/>
          <w:color w:val="0E7490"/>
          <w:sz w:val="36"/>
          <w:szCs w:val="36"/>
        </w:rPr>
        <w:t xml:space="preserve">INCORPORATED CONSTITUTION</w:t>
      </w:r>
    </w:p>
    <w:p>
      <w:pPr>
        <w:pBdr>
          <w:bottom w:val="single" w:color="0E7490" w:sz="4" w:space="1"/>
        </w:pBdr>
        <w:spacing w:after="160" w:before="160"/>
      </w:pPr>
    </w:p>
    <w:p>
      <w:pPr>
        <w:spacing w:after="0" w:before="200"/>
      </w:pPr>
    </w:p>
    <w:p>
      <w:pPr>
        <w:spacing w:after="80" w:before="0"/>
        <w:jc w:val="center"/>
      </w:pPr>
      <w:r>
        <w:rPr>
          <w:rFonts w:ascii="Arial" w:cs="Arial" w:eastAsia="Arial" w:hAnsi="Arial"/>
          <w:i/>
          <w:iCs/>
          <w:color w:val="64748B"/>
          <w:sz w:val="22"/>
          <w:szCs w:val="22"/>
        </w:rPr>
        <w:t xml:space="preserve">Established pursuant to the</w:t>
      </w:r>
    </w:p>
    <w:p>
      <w:pPr>
        <w:spacing w:after="80" w:before="0"/>
        <w:jc w:val="center"/>
      </w:pPr>
      <w:r>
        <w:rPr>
          <w:rFonts w:ascii="Arial" w:cs="Arial" w:eastAsia="Arial" w:hAnsi="Arial"/>
          <w:b/>
          <w:bCs/>
          <w:color w:val="0D2B4E"/>
          <w:sz w:val="22"/>
          <w:szCs w:val="22"/>
        </w:rPr>
        <w:t xml:space="preserve">Companies Act 2015 (Fiji) — Company Limited by Guarantee</w:t>
      </w:r>
    </w:p>
    <w:p>
      <w:pPr>
        <w:spacing w:after="80" w:before="0"/>
        <w:jc w:val="center"/>
      </w:pPr>
      <w:r>
        <w:rPr>
          <w:rFonts w:ascii="Arial" w:cs="Arial" w:eastAsia="Arial" w:hAnsi="Arial"/>
          <w:i/>
          <w:iCs/>
          <w:color w:val="64748B"/>
          <w:sz w:val="22"/>
          <w:szCs w:val="22"/>
        </w:rPr>
        <w:t xml:space="preserve">and consistent with the Charitable Trusts Act (Cap. 67)</w:t>
      </w:r>
    </w:p>
    <w:p>
      <w:pPr>
        <w:spacing w:after="0" w:before="240"/>
      </w:pPr>
    </w:p>
    <w:p>
      <w:pPr>
        <w:spacing w:after="60" w:before="0"/>
        <w:jc w:val="center"/>
      </w:pPr>
      <w:r>
        <w:rPr>
          <w:rFonts w:ascii="Arial" w:cs="Arial" w:eastAsia="Arial" w:hAnsi="Arial"/>
          <w:color w:val="64748B"/>
          <w:sz w:val="22"/>
          <w:szCs w:val="22"/>
        </w:rPr>
        <w:t xml:space="preserve">Version 1.0  |  April 2026</w:t>
      </w:r>
    </w:p>
    <w:p>
      <w:pPr>
        <w:spacing w:after="60" w:before="0"/>
        <w:jc w:val="center"/>
      </w:pPr>
      <w:r>
        <w:rPr>
          <w:rFonts w:ascii="Arial" w:cs="Arial" w:eastAsia="Arial" w:hAnsi="Arial"/>
          <w:color w:val="64748B"/>
          <w:sz w:val="22"/>
          <w:szCs w:val="22"/>
        </w:rPr>
        <w:t xml:space="preserve">Registered Office: Suva, Fiji Islands</w:t>
      </w:r>
    </w:p>
    <w:p>
      <w:pPr>
        <w:spacing w:after="60" w:before="0"/>
        <w:jc w:val="center"/>
      </w:pPr>
      <w:r>
        <w:rPr>
          <w:rFonts w:ascii="Arial" w:cs="Arial" w:eastAsia="Arial" w:hAnsi="Arial"/>
          <w:color w:val="0E7490"/>
          <w:sz w:val="22"/>
          <w:szCs w:val="22"/>
        </w:rPr>
        <w:t xml:space="preserve">Website: suvaharbour.org  |  Email: governance@suvaharbour.org</w:t>
      </w:r>
    </w:p>
    <w:p>
      <w:pPr>
        <w:spacing w:after="0" w:before="300"/>
      </w:pPr>
    </w:p>
    <w:p>
      <w:r>
        <w:br w:type="page"/>
      </w:r>
    </w:p>
    <w:p>
      <w:pPr>
        <w:pStyle w:val="Heading1"/>
      </w:pPr>
      <w:r>
        <w:rPr>
          <w:rFonts w:ascii="Arial" w:cs="Arial" w:eastAsia="Arial" w:hAnsi="Arial"/>
          <w:b/>
          <w:bCs/>
          <w:color w:val="0D2B4E"/>
          <w:sz w:val="28"/>
          <w:szCs w:val="28"/>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60" w:before="400"/>
      </w:pPr>
      <w:r>
        <w:rPr>
          <w:rFonts w:ascii="Arial" w:cs="Arial" w:eastAsia="Arial" w:hAnsi="Arial"/>
          <w:b/>
          <w:bCs/>
          <w:color w:val="0D2B4E"/>
          <w:sz w:val="28"/>
          <w:szCs w:val="28"/>
        </w:rPr>
        <w:t xml:space="preserve">PART I — PRELIMINARY</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1.  Name</w:t>
      </w:r>
    </w:p>
    <w:p>
      <w:pPr>
        <w:spacing w:after="80" w:before="80"/>
        <w:jc w:val="left"/>
      </w:pPr>
      <w:r>
        <w:rPr>
          <w:rFonts w:ascii="Arial" w:cs="Arial" w:eastAsia="Arial" w:hAnsi="Arial"/>
          <w:color w:val="1E293B"/>
          <w:sz w:val="22"/>
          <w:szCs w:val="22"/>
        </w:rPr>
        <w:t xml:space="preserve">The name of the organisation is the SUVA HARBOUR FOUNDATION (hereinafter referred to as 'the Foundation').</w:t>
      </w:r>
    </w:p>
    <w:p>
      <w:pPr>
        <w:spacing w:after="0" w:before="120"/>
      </w:pPr>
    </w:p>
    <w:p>
      <w:pPr>
        <w:pStyle w:val="Heading2"/>
        <w:spacing w:after="120" w:before="300"/>
      </w:pPr>
      <w:r>
        <w:rPr>
          <w:rFonts w:ascii="Arial" w:cs="Arial" w:eastAsia="Arial" w:hAnsi="Arial"/>
          <w:b/>
          <w:bCs/>
          <w:color w:val="0E7490"/>
          <w:sz w:val="24"/>
          <w:szCs w:val="24"/>
        </w:rPr>
        <w:t xml:space="preserve">2.  Registered Office</w:t>
      </w:r>
    </w:p>
    <w:p>
      <w:pPr>
        <w:spacing w:after="80" w:before="80"/>
        <w:jc w:val="left"/>
      </w:pPr>
      <w:r>
        <w:rPr>
          <w:rFonts w:ascii="Arial" w:cs="Arial" w:eastAsia="Arial" w:hAnsi="Arial"/>
          <w:color w:val="1E293B"/>
          <w:sz w:val="22"/>
          <w:szCs w:val="22"/>
        </w:rPr>
        <w:t xml:space="preserve">The registered office of the Foundation shall be situated in Suva, Fiji Islands. The Board may change the registered address by resolution and shall notify the Registrar of Companies accordingly.</w:t>
      </w:r>
    </w:p>
    <w:p>
      <w:pPr>
        <w:spacing w:after="0" w:before="120"/>
      </w:pPr>
    </w:p>
    <w:p>
      <w:pPr>
        <w:pStyle w:val="Heading2"/>
        <w:spacing w:after="120" w:before="300"/>
      </w:pPr>
      <w:r>
        <w:rPr>
          <w:rFonts w:ascii="Arial" w:cs="Arial" w:eastAsia="Arial" w:hAnsi="Arial"/>
          <w:b/>
          <w:bCs/>
          <w:color w:val="0E7490"/>
          <w:sz w:val="24"/>
          <w:szCs w:val="24"/>
        </w:rPr>
        <w:t xml:space="preserve">3.  Legal Status</w:t>
      </w:r>
    </w:p>
    <w:p>
      <w:pPr>
        <w:spacing w:after="80" w:before="80"/>
        <w:jc w:val="left"/>
      </w:pPr>
      <w:r>
        <w:rPr>
          <w:rFonts w:ascii="Arial" w:cs="Arial" w:eastAsia="Arial" w:hAnsi="Arial"/>
          <w:color w:val="1E293B"/>
          <w:sz w:val="22"/>
          <w:szCs w:val="22"/>
        </w:rPr>
        <w:t xml:space="preserve">The Foundation is incorporated as a company limited by guarantee under the Companies Act 2015 of Fiji and operates exclusively for charitable, scientific, and educational purposes consistent with the Charitable Trusts Act (Cap. 67). No part of its income or assets shall be distributed to its members except in the bona fide furtherance of its objects.</w:t>
      </w:r>
    </w:p>
    <w:p>
      <w:pPr>
        <w:spacing w:after="0" w:before="120"/>
      </w:pPr>
    </w:p>
    <w:p>
      <w:pPr>
        <w:pStyle w:val="Heading2"/>
        <w:spacing w:after="120" w:before="300"/>
      </w:pPr>
      <w:r>
        <w:rPr>
          <w:rFonts w:ascii="Arial" w:cs="Arial" w:eastAsia="Arial" w:hAnsi="Arial"/>
          <w:b/>
          <w:bCs/>
          <w:color w:val="0E7490"/>
          <w:sz w:val="24"/>
          <w:szCs w:val="24"/>
        </w:rPr>
        <w:t xml:space="preserve">4.  Interpretation</w:t>
      </w:r>
    </w:p>
    <w:p>
      <w:pPr>
        <w:spacing w:after="80" w:before="80"/>
        <w:jc w:val="left"/>
      </w:pPr>
      <w:r>
        <w:rPr>
          <w:rFonts w:ascii="Arial" w:cs="Arial" w:eastAsia="Arial" w:hAnsi="Arial"/>
          <w:color w:val="1E293B"/>
          <w:sz w:val="22"/>
          <w:szCs w:val="22"/>
        </w:rPr>
        <w:t xml:space="preserve">In this Constitution, unless the context otherwise requires: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Term</w:t>
            </w:r>
          </w:p>
        </w:tc>
        <w:tc>
          <w:tcPr>
            <w:tcW w:type="dxa" w:w="716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Meaning</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Act</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The Companies Act 2015 (Fiji) and any subsequent amendments thereto</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AGM</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Annual General Meeting of the Foundation</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Board</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The Board of Directors of the Foundation as constituted under Part IV</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Chairperson</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The elected Chairperson of the Board</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Constitution</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This document including all schedules and amendments</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Director</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A member of the Board duly elected or appointed under this Constitution</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EGM</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Extraordinary General Meeting</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Financial Year</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1 January to 31 December each calendar year</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Foundation</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Suva Harbour Foundation incorporated under this Constitution</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General Meeting</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Any AGM or EGM of the Foundation</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Member</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A person or entity admitted to membership under Part III</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Quorum</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The minimum number of persons required to validly transact business</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Secretary</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The person appointed as Company Secretary</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Special Resolution</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A resolution passed by not less than 75% of Members voting</w:t>
            </w:r>
          </w:p>
        </w:tc>
      </w:tr>
      <w:tr>
        <w:tc>
          <w:tcPr>
            <w:tcW w:type="dxa" w:w="2200"/>
            <w:tcBorders>
              <w:top w:val="single" w:color="D1DCE8" w:sz="1"/>
              <w:left w:val="single" w:color="D1DCE8" w:sz="1"/>
              <w:bottom w:val="single" w:color="D1DCE8" w:sz="1"/>
              <w:right w:val="single" w:color="D1DCE8" w:sz="1"/>
            </w:tcBorders>
            <w:shd w:fill="F5F7F9" w:val="clear"/>
            <w:tcMar>
              <w:top w:type="dxa" w:w="80"/>
              <w:left w:type="dxa" w:w="120"/>
              <w:bottom w:type="dxa" w:w="80"/>
              <w:right w:type="dxa" w:w="120"/>
            </w:tcMar>
            <w:vAlign w:val="top"/>
          </w:tcPr>
          <w:p>
            <w:r>
              <w:rPr>
                <w:rFonts w:ascii="Arial" w:cs="Arial" w:eastAsia="Arial" w:hAnsi="Arial"/>
                <w:b/>
                <w:bCs/>
                <w:color w:val="0D2B4E"/>
                <w:sz w:val="20"/>
                <w:szCs w:val="20"/>
              </w:rPr>
              <w:t xml:space="preserve">Writing</w:t>
            </w:r>
          </w:p>
        </w:tc>
        <w:tc>
          <w:tcPr>
            <w:tcW w:type="dxa" w:w="7160"/>
            <w:tcBorders>
              <w:top w:val="single" w:color="D1DCE8" w:sz="1"/>
              <w:left w:val="single" w:color="D1DCE8" w:sz="1"/>
              <w:bottom w:val="single" w:color="D1DCE8" w:sz="1"/>
              <w:right w:val="single" w:color="D1DCE8" w:sz="1"/>
            </w:tcBorders>
            <w:tcMar>
              <w:top w:type="dxa" w:w="80"/>
              <w:left w:type="dxa" w:w="120"/>
              <w:bottom w:type="dxa" w:w="80"/>
              <w:right w:type="dxa" w:w="120"/>
            </w:tcMar>
            <w:vAlign w:val="top"/>
          </w:tcPr>
          <w:p>
            <w:r>
              <w:rPr>
                <w:rFonts w:ascii="Arial" w:cs="Arial" w:eastAsia="Arial" w:hAnsi="Arial"/>
                <w:color w:val="1E293B"/>
                <w:sz w:val="20"/>
                <w:szCs w:val="20"/>
              </w:rPr>
              <w:t xml:space="preserve">Includes electronic communication where expressly permitted</w:t>
            </w:r>
          </w:p>
        </w:tc>
      </w:tr>
    </w:tbl>
    <w:p>
      <w:pPr>
        <w:spacing w:after="0" w:before="200"/>
      </w:pPr>
    </w:p>
    <w:p>
      <w:r>
        <w:br w:type="page"/>
      </w:r>
    </w:p>
    <w:p>
      <w:pPr>
        <w:pStyle w:val="Heading1"/>
        <w:spacing w:after="160" w:before="400"/>
      </w:pPr>
      <w:r>
        <w:rPr>
          <w:rFonts w:ascii="Arial" w:cs="Arial" w:eastAsia="Arial" w:hAnsi="Arial"/>
          <w:b/>
          <w:bCs/>
          <w:color w:val="0D2B4E"/>
          <w:sz w:val="28"/>
          <w:szCs w:val="28"/>
        </w:rPr>
        <w:t xml:space="preserve">PART II — OBJECTS AND POWERS</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5.  Objects</w:t>
      </w:r>
    </w:p>
    <w:p>
      <w:pPr>
        <w:spacing w:after="80" w:before="80"/>
        <w:jc w:val="left"/>
      </w:pPr>
      <w:r>
        <w:rPr>
          <w:rFonts w:ascii="Arial" w:cs="Arial" w:eastAsia="Arial" w:hAnsi="Arial"/>
          <w:color w:val="1E293B"/>
          <w:sz w:val="22"/>
          <w:szCs w:val="22"/>
        </w:rPr>
        <w:t xml:space="preserve">The objects of the Foundation are:</w:t>
      </w:r>
    </w:p>
    <w:p>
      <w:pPr>
        <w:pStyle w:val="ListParagraph"/>
        <w:numPr>
          <w:ilvl w:val="0"/>
          <w:numId w:val="2"/>
        </w:numPr>
        <w:spacing w:after="60" w:before="60"/>
      </w:pPr>
      <w:r>
        <w:rPr>
          <w:rFonts w:ascii="Arial" w:cs="Arial" w:eastAsia="Arial" w:hAnsi="Arial"/>
          <w:color w:val="1E293B"/>
          <w:sz w:val="22"/>
          <w:szCs w:val="22"/>
        </w:rPr>
        <w:t xml:space="preserve">to restore, protect, and preserve the ecological and environmental integrity of Suva Harbour and its surrounding waterways and coastlines for current and future generations of Fiji;</w:t>
      </w:r>
    </w:p>
    <w:p>
      <w:pPr>
        <w:pStyle w:val="ListParagraph"/>
        <w:numPr>
          <w:ilvl w:val="0"/>
          <w:numId w:val="2"/>
        </w:numPr>
        <w:spacing w:after="60" w:before="60"/>
      </w:pPr>
      <w:r>
        <w:rPr>
          <w:rFonts w:ascii="Arial" w:cs="Arial" w:eastAsia="Arial" w:hAnsi="Arial"/>
          <w:color w:val="1E293B"/>
          <w:sz w:val="22"/>
          <w:szCs w:val="22"/>
        </w:rPr>
        <w:t xml:space="preserve">to identify, survey, assess, and advocate for the safe removal of derelict and abandoned vessels from Suva Harbour that pose pollution, safety, or navigational hazards;</w:t>
      </w:r>
    </w:p>
    <w:p>
      <w:pPr>
        <w:pStyle w:val="ListParagraph"/>
        <w:numPr>
          <w:ilvl w:val="0"/>
          <w:numId w:val="2"/>
        </w:numPr>
        <w:spacing w:after="60" w:before="60"/>
      </w:pPr>
      <w:r>
        <w:rPr>
          <w:rFonts w:ascii="Arial" w:cs="Arial" w:eastAsia="Arial" w:hAnsi="Arial"/>
          <w:color w:val="1E293B"/>
          <w:sz w:val="22"/>
          <w:szCs w:val="22"/>
        </w:rPr>
        <w:t xml:space="preserve">to deploy, operate, and maintain waste-interception technology including boom systems and seabin devices to prevent land-based pollution from entering the marine environment;</w:t>
      </w:r>
    </w:p>
    <w:p>
      <w:pPr>
        <w:pStyle w:val="ListParagraph"/>
        <w:numPr>
          <w:ilvl w:val="0"/>
          <w:numId w:val="2"/>
        </w:numPr>
        <w:spacing w:after="60" w:before="60"/>
      </w:pPr>
      <w:r>
        <w:rPr>
          <w:rFonts w:ascii="Arial" w:cs="Arial" w:eastAsia="Arial" w:hAnsi="Arial"/>
          <w:color w:val="1E293B"/>
          <w:sz w:val="22"/>
          <w:szCs w:val="22"/>
        </w:rPr>
        <w:t xml:space="preserve">to conduct and commission scientific research, water quality monitoring, and environmental impact assessments in and around Suva Harbour;</w:t>
      </w:r>
    </w:p>
    <w:p>
      <w:pPr>
        <w:pStyle w:val="ListParagraph"/>
        <w:numPr>
          <w:ilvl w:val="0"/>
          <w:numId w:val="2"/>
        </w:numPr>
        <w:spacing w:after="60" w:before="60"/>
      </w:pPr>
      <w:r>
        <w:rPr>
          <w:rFonts w:ascii="Arial" w:cs="Arial" w:eastAsia="Arial" w:hAnsi="Arial"/>
          <w:color w:val="1E293B"/>
          <w:sz w:val="22"/>
          <w:szCs w:val="22"/>
        </w:rPr>
        <w:t xml:space="preserve">to foster partnerships with government agencies, international organisations, indigenous communities, academic institutions, and the private sector to achieve the above objects;</w:t>
      </w:r>
    </w:p>
    <w:p>
      <w:pPr>
        <w:pStyle w:val="ListParagraph"/>
        <w:numPr>
          <w:ilvl w:val="0"/>
          <w:numId w:val="2"/>
        </w:numPr>
        <w:spacing w:after="60" w:before="60"/>
      </w:pPr>
      <w:r>
        <w:rPr>
          <w:rFonts w:ascii="Arial" w:cs="Arial" w:eastAsia="Arial" w:hAnsi="Arial"/>
          <w:color w:val="1E293B"/>
          <w:sz w:val="22"/>
          <w:szCs w:val="22"/>
        </w:rPr>
        <w:t xml:space="preserve">to educate and engage the community, schools, and the public in ocean stewardship, marine conservation, and sustainable practices;</w:t>
      </w:r>
    </w:p>
    <w:p>
      <w:pPr>
        <w:pStyle w:val="ListParagraph"/>
        <w:numPr>
          <w:ilvl w:val="0"/>
          <w:numId w:val="2"/>
        </w:numPr>
        <w:spacing w:after="60" w:before="60"/>
      </w:pPr>
      <w:r>
        <w:rPr>
          <w:rFonts w:ascii="Arial" w:cs="Arial" w:eastAsia="Arial" w:hAnsi="Arial"/>
          <w:color w:val="1E293B"/>
          <w:sz w:val="22"/>
          <w:szCs w:val="22"/>
        </w:rPr>
        <w:t xml:space="preserve">to receive, administer, and deploy grants, donations, and other financial contributions in furtherance of the above objects;</w:t>
      </w:r>
    </w:p>
    <w:p>
      <w:pPr>
        <w:pStyle w:val="ListParagraph"/>
        <w:numPr>
          <w:ilvl w:val="0"/>
          <w:numId w:val="2"/>
        </w:numPr>
        <w:spacing w:after="60" w:before="60"/>
      </w:pPr>
      <w:r>
        <w:rPr>
          <w:rFonts w:ascii="Arial" w:cs="Arial" w:eastAsia="Arial" w:hAnsi="Arial"/>
          <w:color w:val="1E293B"/>
          <w:sz w:val="22"/>
          <w:szCs w:val="22"/>
        </w:rPr>
        <w:t xml:space="preserve">to do all such other lawful things as are incidental or conducive to the attainment of the above objects.</w:t>
      </w:r>
    </w:p>
    <w:p>
      <w:pPr>
        <w:spacing w:after="0" w:before="120"/>
      </w:pPr>
    </w:p>
    <w:p>
      <w:pPr>
        <w:pStyle w:val="Heading2"/>
        <w:spacing w:after="120" w:before="300"/>
      </w:pPr>
      <w:r>
        <w:rPr>
          <w:rFonts w:ascii="Arial" w:cs="Arial" w:eastAsia="Arial" w:hAnsi="Arial"/>
          <w:b/>
          <w:bCs/>
          <w:color w:val="0E7490"/>
          <w:sz w:val="24"/>
          <w:szCs w:val="24"/>
        </w:rPr>
        <w:t xml:space="preserve">6.  Powers</w:t>
      </w:r>
    </w:p>
    <w:p>
      <w:pPr>
        <w:spacing w:after="80" w:before="80"/>
        <w:jc w:val="left"/>
      </w:pPr>
      <w:r>
        <w:rPr>
          <w:rFonts w:ascii="Arial" w:cs="Arial" w:eastAsia="Arial" w:hAnsi="Arial"/>
          <w:color w:val="1E293B"/>
          <w:sz w:val="22"/>
          <w:szCs w:val="22"/>
        </w:rPr>
        <w:t xml:space="preserve">In furtherance of its objects, and subject to applicable Fijian law, the Foundation shall have the power to:</w:t>
      </w:r>
    </w:p>
    <w:p>
      <w:pPr>
        <w:pStyle w:val="ListParagraph"/>
        <w:numPr>
          <w:ilvl w:val="0"/>
          <w:numId w:val="3"/>
        </w:numPr>
        <w:spacing w:after="60" w:before="60"/>
      </w:pPr>
      <w:r>
        <w:rPr>
          <w:rFonts w:ascii="Arial" w:cs="Arial" w:eastAsia="Arial" w:hAnsi="Arial"/>
          <w:color w:val="1E293B"/>
          <w:sz w:val="22"/>
          <w:szCs w:val="22"/>
        </w:rPr>
        <w:t xml:space="preserve">acquire, hold, lease, sell, or otherwise deal with property, both real and personal;</w:t>
      </w:r>
    </w:p>
    <w:p>
      <w:pPr>
        <w:pStyle w:val="ListParagraph"/>
        <w:numPr>
          <w:ilvl w:val="0"/>
          <w:numId w:val="3"/>
        </w:numPr>
        <w:spacing w:after="60" w:before="60"/>
      </w:pPr>
      <w:r>
        <w:rPr>
          <w:rFonts w:ascii="Arial" w:cs="Arial" w:eastAsia="Arial" w:hAnsi="Arial"/>
          <w:color w:val="1E293B"/>
          <w:sz w:val="22"/>
          <w:szCs w:val="22"/>
        </w:rPr>
        <w:t xml:space="preserve">open and operate bank accounts and to invest funds in accordance with an investment policy approved by the Board;</w:t>
      </w:r>
    </w:p>
    <w:p>
      <w:pPr>
        <w:pStyle w:val="ListParagraph"/>
        <w:numPr>
          <w:ilvl w:val="0"/>
          <w:numId w:val="3"/>
        </w:numPr>
        <w:spacing w:after="60" w:before="60"/>
      </w:pPr>
      <w:r>
        <w:rPr>
          <w:rFonts w:ascii="Arial" w:cs="Arial" w:eastAsia="Arial" w:hAnsi="Arial"/>
          <w:color w:val="1E293B"/>
          <w:sz w:val="22"/>
          <w:szCs w:val="22"/>
        </w:rPr>
        <w:t xml:space="preserve">borrow money and grant security over Foundation assets, subject to a Special Resolution of the Board;</w:t>
      </w:r>
    </w:p>
    <w:p>
      <w:pPr>
        <w:pStyle w:val="ListParagraph"/>
        <w:numPr>
          <w:ilvl w:val="0"/>
          <w:numId w:val="3"/>
        </w:numPr>
        <w:spacing w:after="60" w:before="60"/>
      </w:pPr>
      <w:r>
        <w:rPr>
          <w:rFonts w:ascii="Arial" w:cs="Arial" w:eastAsia="Arial" w:hAnsi="Arial"/>
          <w:color w:val="1E293B"/>
          <w:sz w:val="22"/>
          <w:szCs w:val="22"/>
        </w:rPr>
        <w:t xml:space="preserve">enter into contracts, memoranda of understanding, and cooperative agreements;</w:t>
      </w:r>
    </w:p>
    <w:p>
      <w:pPr>
        <w:pStyle w:val="ListParagraph"/>
        <w:numPr>
          <w:ilvl w:val="0"/>
          <w:numId w:val="3"/>
        </w:numPr>
        <w:spacing w:after="60" w:before="60"/>
      </w:pPr>
      <w:r>
        <w:rPr>
          <w:rFonts w:ascii="Arial" w:cs="Arial" w:eastAsia="Arial" w:hAnsi="Arial"/>
          <w:color w:val="1E293B"/>
          <w:sz w:val="22"/>
          <w:szCs w:val="22"/>
        </w:rPr>
        <w:t xml:space="preserve">employ persons and engage consultants or contractors;</w:t>
      </w:r>
    </w:p>
    <w:p>
      <w:pPr>
        <w:pStyle w:val="ListParagraph"/>
        <w:numPr>
          <w:ilvl w:val="0"/>
          <w:numId w:val="3"/>
        </w:numPr>
        <w:spacing w:after="60" w:before="60"/>
      </w:pPr>
      <w:r>
        <w:rPr>
          <w:rFonts w:ascii="Arial" w:cs="Arial" w:eastAsia="Arial" w:hAnsi="Arial"/>
          <w:color w:val="1E293B"/>
          <w:sz w:val="22"/>
          <w:szCs w:val="22"/>
        </w:rPr>
        <w:t xml:space="preserve">receive and administer charitable gifts, bequests, and endowments;</w:t>
      </w:r>
    </w:p>
    <w:p>
      <w:pPr>
        <w:pStyle w:val="ListParagraph"/>
        <w:numPr>
          <w:ilvl w:val="0"/>
          <w:numId w:val="3"/>
        </w:numPr>
        <w:spacing w:after="60" w:before="60"/>
      </w:pPr>
      <w:r>
        <w:rPr>
          <w:rFonts w:ascii="Arial" w:cs="Arial" w:eastAsia="Arial" w:hAnsi="Arial"/>
          <w:color w:val="1E293B"/>
          <w:sz w:val="22"/>
          <w:szCs w:val="22"/>
        </w:rPr>
        <w:t xml:space="preserve">establish subsidiaries, joint ventures, or special-purpose vehicles with Board approval;</w:t>
      </w:r>
    </w:p>
    <w:p>
      <w:pPr>
        <w:pStyle w:val="ListParagraph"/>
        <w:numPr>
          <w:ilvl w:val="0"/>
          <w:numId w:val="3"/>
        </w:numPr>
        <w:spacing w:after="60" w:before="60"/>
      </w:pPr>
      <w:r>
        <w:rPr>
          <w:rFonts w:ascii="Arial" w:cs="Arial" w:eastAsia="Arial" w:hAnsi="Arial"/>
          <w:color w:val="1E293B"/>
          <w:sz w:val="22"/>
          <w:szCs w:val="22"/>
        </w:rPr>
        <w:t xml:space="preserve">do anything incidental to the exercise of any of the above powers.</w:t>
      </w:r>
    </w:p>
    <w:p>
      <w:pPr>
        <w:spacing w:after="0" w:before="120"/>
      </w:pPr>
    </w:p>
    <w:p>
      <w:pPr>
        <w:pStyle w:val="Heading2"/>
        <w:spacing w:after="120" w:before="300"/>
      </w:pPr>
      <w:r>
        <w:rPr>
          <w:rFonts w:ascii="Arial" w:cs="Arial" w:eastAsia="Arial" w:hAnsi="Arial"/>
          <w:b/>
          <w:bCs/>
          <w:color w:val="0E7490"/>
          <w:sz w:val="24"/>
          <w:szCs w:val="24"/>
        </w:rPr>
        <w:t xml:space="preserve">7.  Not-for-Profit Clause</w:t>
      </w:r>
    </w:p>
    <w:p>
      <w:pPr>
        <w:spacing w:after="80" w:before="80"/>
        <w:jc w:val="left"/>
      </w:pPr>
      <w:r>
        <w:rPr>
          <w:rFonts w:ascii="Arial" w:cs="Arial" w:eastAsia="Arial" w:hAnsi="Arial"/>
          <w:color w:val="1E293B"/>
          <w:sz w:val="22"/>
          <w:szCs w:val="22"/>
        </w:rPr>
        <w:t xml:space="preserve">The Foundation is established and shall at all times operate exclusively for charitable and environmental purposes. No part of the net earnings, profits, or assets of the Foundation shall inure to the benefit of, or be distributable to, any Director, officer, Member, or private person, except that the Foundation shall be authorised to pay reasonable compensation for services rendered and to make payments and distributions in furtherance of its objects. Upon dissolution, assets shall be distributed to one or more organisations with similar charitable purposes as determined by Special Resolution.</w:t>
      </w:r>
    </w:p>
    <w:p>
      <w:pPr>
        <w:spacing w:after="0" w:before="120"/>
      </w:pPr>
    </w:p>
    <w:p>
      <w:r>
        <w:br w:type="page"/>
      </w:r>
    </w:p>
    <w:p>
      <w:pPr>
        <w:pStyle w:val="Heading1"/>
        <w:spacing w:after="160" w:before="400"/>
      </w:pPr>
      <w:r>
        <w:rPr>
          <w:rFonts w:ascii="Arial" w:cs="Arial" w:eastAsia="Arial" w:hAnsi="Arial"/>
          <w:b/>
          <w:bCs/>
          <w:color w:val="0D2B4E"/>
          <w:sz w:val="28"/>
          <w:szCs w:val="28"/>
        </w:rPr>
        <w:t xml:space="preserve">PART III — MEMBERSHIP</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8.  Membership Classes</w:t>
      </w:r>
    </w:p>
    <w:p>
      <w:pPr>
        <w:spacing w:after="80" w:before="80"/>
        <w:jc w:val="left"/>
      </w:pPr>
      <w:r>
        <w:rPr>
          <w:rFonts w:ascii="Arial" w:cs="Arial" w:eastAsia="Arial" w:hAnsi="Arial"/>
          <w:color w:val="1E293B"/>
          <w:sz w:val="22"/>
          <w:szCs w:val="22"/>
        </w:rPr>
        <w:t xml:space="preserve">The Foundation shall have four classes of membership as set out in Schedule 1. The Board may by Special Resolution amend the classes, subscription fees, and rights attaching to each class, subject to notification to all Members not less than 28 days prior to any change taking effect.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3380"/>
        <w:gridCol w:w="2780"/>
      </w:tblGrid>
      <w:tr>
        <w:tc>
          <w:tcPr>
            <w:tcW w:type="dxa" w:w="18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Class</w:t>
            </w:r>
          </w:p>
        </w:tc>
        <w:tc>
          <w:tcPr>
            <w:tcW w:type="dxa" w:w="14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Annual Fee (FJD)</w:t>
            </w:r>
          </w:p>
        </w:tc>
        <w:tc>
          <w:tcPr>
            <w:tcW w:type="dxa" w:w="338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Rights &amp; Benefits</w:t>
            </w:r>
          </w:p>
        </w:tc>
        <w:tc>
          <w:tcPr>
            <w:tcW w:type="dxa" w:w="278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Verification Required</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Community Member</w:t>
            </w:r>
          </w:p>
        </w:tc>
        <w:tc>
          <w:tcPr>
            <w:tcW w:type="dxa" w:w="14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color w:val="1E293B"/>
                <w:sz w:val="20"/>
                <w:szCs w:val="20"/>
              </w:rPr>
              <w:t xml:space="preserve">Free</w:t>
            </w:r>
          </w:p>
        </w:tc>
        <w:tc>
          <w:tcPr>
            <w:tcW w:type="dxa" w:w="33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Newsletter; attend public events; no voting rights</w:t>
            </w:r>
          </w:p>
        </w:tc>
        <w:tc>
          <w:tcPr>
            <w:tcW w:type="dxa" w:w="27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Verified email address; anti-bot CAPTCHA</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Supporting Member</w:t>
            </w:r>
          </w:p>
        </w:tc>
        <w:tc>
          <w:tcPr>
            <w:tcW w:type="dxa" w:w="14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color w:val="1E293B"/>
                <w:sz w:val="20"/>
                <w:szCs w:val="20"/>
              </w:rPr>
              <w:t xml:space="preserve">50</w:t>
            </w:r>
          </w:p>
        </w:tc>
        <w:tc>
          <w:tcPr>
            <w:tcW w:type="dxa" w:w="33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All Community rights; attend AGM; speak at General Meetings; one vote per person</w:t>
            </w:r>
          </w:p>
        </w:tc>
        <w:tc>
          <w:tcPr>
            <w:tcW w:type="dxa" w:w="27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Email + SMS/phone verification; national ID number (not stored, hash only)</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Organisational Partner</w:t>
            </w:r>
          </w:p>
        </w:tc>
        <w:tc>
          <w:tcPr>
            <w:tcW w:type="dxa" w:w="14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color w:val="1E293B"/>
                <w:sz w:val="20"/>
                <w:szCs w:val="20"/>
              </w:rPr>
              <w:t xml:space="preserve">500</w:t>
            </w:r>
          </w:p>
        </w:tc>
        <w:tc>
          <w:tcPr>
            <w:tcW w:type="dxa" w:w="33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All Supporting rights; two delegates; joint project eligibility; logo on website</w:t>
            </w:r>
          </w:p>
        </w:tc>
        <w:tc>
          <w:tcPr>
            <w:tcW w:type="dxa" w:w="27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Fiji company/society registration number; authorised representative verified by Board Secretary</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Founding Patron</w:t>
            </w:r>
          </w:p>
        </w:tc>
        <w:tc>
          <w:tcPr>
            <w:tcW w:type="dxa" w:w="14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color w:val="1E293B"/>
                <w:sz w:val="20"/>
                <w:szCs w:val="20"/>
              </w:rPr>
              <w:t xml:space="preserve">2,500+</w:t>
            </w:r>
          </w:p>
        </w:tc>
        <w:tc>
          <w:tcPr>
            <w:tcW w:type="dxa" w:w="33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All Organisational rights; named on donor wall; advisory access to Board; annual impact report</w:t>
            </w:r>
          </w:p>
        </w:tc>
        <w:tc>
          <w:tcPr>
            <w:tcW w:type="dxa" w:w="278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color w:val="1E293B"/>
                <w:sz w:val="20"/>
                <w:szCs w:val="20"/>
              </w:rPr>
              <w:t xml:space="preserve">Full due diligence by Board; AML/KYC check; formal MOU signed</w:t>
            </w:r>
          </w:p>
        </w:tc>
      </w:tr>
    </w:tbl>
    <w:p>
      <w:pPr>
        <w:spacing w:after="0" w:before="120"/>
      </w:pPr>
    </w:p>
    <w:p>
      <w:pPr>
        <w:spacing w:after="80" w:before="80"/>
        <w:jc w:val="left"/>
      </w:pPr>
      <w:r>
        <w:rPr>
          <w:rFonts w:ascii="Arial" w:cs="Arial" w:eastAsia="Arial" w:hAnsi="Arial"/>
          <w:color w:val="1E293B"/>
          <w:sz w:val="22"/>
          <w:szCs w:val="22"/>
        </w:rPr>
        <w:t xml:space="preserve">Note: Fees are denominated in Fijian Dollars (FJD) and are reviewed annually by the Board at the last meeting before each AGM. Fees may be waived or reduced at the Board's discretion for indigenous community groups, educational institutions, or individuals demonstrating financial hardship.</w:t>
      </w:r>
    </w:p>
    <w:p>
      <w:pPr>
        <w:spacing w:after="0" w:before="120"/>
      </w:pPr>
    </w:p>
    <w:p>
      <w:pPr>
        <w:pStyle w:val="Heading2"/>
        <w:spacing w:after="120" w:before="300"/>
      </w:pPr>
      <w:r>
        <w:rPr>
          <w:rFonts w:ascii="Arial" w:cs="Arial" w:eastAsia="Arial" w:hAnsi="Arial"/>
          <w:b/>
          <w:bCs/>
          <w:color w:val="0E7490"/>
          <w:sz w:val="24"/>
          <w:szCs w:val="24"/>
        </w:rPr>
        <w:t xml:space="preserve">9.  Application for Membership</w:t>
      </w:r>
    </w:p>
    <w:p>
      <w:pPr>
        <w:pStyle w:val="ListParagraph"/>
        <w:numPr>
          <w:ilvl w:val="0"/>
          <w:numId w:val="4"/>
        </w:numPr>
        <w:spacing w:after="60" w:before="60"/>
      </w:pPr>
      <w:r>
        <w:rPr>
          <w:rFonts w:ascii="Arial" w:cs="Arial" w:eastAsia="Arial" w:hAnsi="Arial"/>
          <w:color w:val="1E293B"/>
          <w:sz w:val="22"/>
          <w:szCs w:val="22"/>
        </w:rPr>
        <w:t xml:space="preserve">Any person or entity wishing to become a Member shall submit an application in the prescribed form (electronic or paper) including the information required under clause 10.</w:t>
      </w:r>
    </w:p>
    <w:p>
      <w:pPr>
        <w:pStyle w:val="ListParagraph"/>
        <w:numPr>
          <w:ilvl w:val="0"/>
          <w:numId w:val="4"/>
        </w:numPr>
        <w:spacing w:after="60" w:before="60"/>
      </w:pPr>
      <w:r>
        <w:rPr>
          <w:rFonts w:ascii="Arial" w:cs="Arial" w:eastAsia="Arial" w:hAnsi="Arial"/>
          <w:color w:val="1E293B"/>
          <w:sz w:val="22"/>
          <w:szCs w:val="22"/>
        </w:rPr>
        <w:t xml:space="preserve">Applications for Supporting Member and above require approval by the Board Secretary or a nominated Director. The Board Secretary shall process applications within 21 days of receipt of a complete application and any required fees.</w:t>
      </w:r>
    </w:p>
    <w:p>
      <w:pPr>
        <w:pStyle w:val="ListParagraph"/>
        <w:numPr>
          <w:ilvl w:val="0"/>
          <w:numId w:val="4"/>
        </w:numPr>
        <w:spacing w:after="60" w:before="60"/>
      </w:pPr>
      <w:r>
        <w:rPr>
          <w:rFonts w:ascii="Arial" w:cs="Arial" w:eastAsia="Arial" w:hAnsi="Arial"/>
          <w:color w:val="1E293B"/>
          <w:sz w:val="22"/>
          <w:szCs w:val="22"/>
        </w:rPr>
        <w:t xml:space="preserve">Admission to the Community Member class shall be automatic upon successful completion of the online verification process set out in clause 10.</w:t>
      </w:r>
    </w:p>
    <w:p>
      <w:pPr>
        <w:pStyle w:val="ListParagraph"/>
        <w:numPr>
          <w:ilvl w:val="0"/>
          <w:numId w:val="4"/>
        </w:numPr>
        <w:spacing w:after="60" w:before="60"/>
      </w:pPr>
      <w:r>
        <w:rPr>
          <w:rFonts w:ascii="Arial" w:cs="Arial" w:eastAsia="Arial" w:hAnsi="Arial"/>
          <w:color w:val="1E293B"/>
          <w:sz w:val="22"/>
          <w:szCs w:val="22"/>
        </w:rPr>
        <w:t xml:space="preserve">The Board may decline any application without being required to give reasons. Declined applicants may appeal to the Board within 30 days, and the Board's decision on appeal shall be final.</w:t>
      </w:r>
    </w:p>
    <w:p>
      <w:pPr>
        <w:spacing w:after="0" w:before="120"/>
      </w:pPr>
    </w:p>
    <w:p>
      <w:pPr>
        <w:pStyle w:val="Heading2"/>
        <w:spacing w:after="120" w:before="300"/>
      </w:pPr>
      <w:r>
        <w:rPr>
          <w:rFonts w:ascii="Arial" w:cs="Arial" w:eastAsia="Arial" w:hAnsi="Arial"/>
          <w:b/>
          <w:bCs/>
          <w:color w:val="0E7490"/>
          <w:sz w:val="24"/>
          <w:szCs w:val="24"/>
        </w:rPr>
        <w:t xml:space="preserve">10.  Identity Verification and Anti-Gaming Measures</w:t>
      </w:r>
    </w:p>
    <w:p>
      <w:pPr>
        <w:spacing w:after="80" w:before="80"/>
        <w:jc w:val="left"/>
      </w:pPr>
      <w:r>
        <w:rPr>
          <w:rFonts w:ascii="Arial" w:cs="Arial" w:eastAsia="Arial" w:hAnsi="Arial"/>
          <w:color w:val="1E293B"/>
          <w:sz w:val="22"/>
          <w:szCs w:val="22"/>
        </w:rPr>
        <w:t xml:space="preserve">To protect the integrity of the Foundation's membership and governance, the following verification standards apply:</w:t>
      </w:r>
    </w:p>
    <w:p>
      <w:pPr>
        <w:pStyle w:val="Heading3"/>
        <w:spacing w:after="100" w:before="200"/>
      </w:pPr>
      <w:r>
        <w:rPr>
          <w:rFonts w:ascii="Arial" w:cs="Arial" w:eastAsia="Arial" w:hAnsi="Arial"/>
          <w:b/>
          <w:bCs/>
          <w:color w:val="0D2B4E"/>
          <w:sz w:val="22"/>
          <w:szCs w:val="22"/>
        </w:rPr>
        <w:t xml:space="preserve">10.1  Community Members</w:t>
      </w:r>
    </w:p>
    <w:p>
      <w:pPr>
        <w:pStyle w:val="ListParagraph"/>
        <w:numPr>
          <w:ilvl w:val="0"/>
          <w:numId w:val="5"/>
        </w:numPr>
        <w:spacing w:after="60" w:before="60"/>
      </w:pPr>
      <w:r>
        <w:rPr>
          <w:rFonts w:ascii="Arial" w:cs="Arial" w:eastAsia="Arial" w:hAnsi="Arial"/>
          <w:color w:val="1E293B"/>
          <w:sz w:val="22"/>
          <w:szCs w:val="22"/>
        </w:rPr>
        <w:t xml:space="preserve">Applicants must provide a valid and unique email address.</w:t>
      </w:r>
    </w:p>
    <w:p>
      <w:pPr>
        <w:pStyle w:val="ListParagraph"/>
        <w:numPr>
          <w:ilvl w:val="0"/>
          <w:numId w:val="5"/>
        </w:numPr>
        <w:spacing w:after="60" w:before="60"/>
      </w:pPr>
      <w:r>
        <w:rPr>
          <w:rFonts w:ascii="Arial" w:cs="Arial" w:eastAsia="Arial" w:hAnsi="Arial"/>
          <w:color w:val="1E293B"/>
          <w:sz w:val="22"/>
          <w:szCs w:val="22"/>
        </w:rPr>
        <w:t xml:space="preserve">A verification link shall be sent to the email address; membership is activated only upon click-through confirmation.</w:t>
      </w:r>
    </w:p>
    <w:p>
      <w:pPr>
        <w:pStyle w:val="ListParagraph"/>
        <w:numPr>
          <w:ilvl w:val="0"/>
          <w:numId w:val="5"/>
        </w:numPr>
        <w:spacing w:after="60" w:before="60"/>
      </w:pPr>
      <w:r>
        <w:rPr>
          <w:rFonts w:ascii="Arial" w:cs="Arial" w:eastAsia="Arial" w:hAnsi="Arial"/>
          <w:color w:val="1E293B"/>
          <w:sz w:val="22"/>
          <w:szCs w:val="22"/>
        </w:rPr>
        <w:t xml:space="preserve">An automated CAPTCHA or equivalent bot-detection test shall be completed at the time of application.</w:t>
      </w:r>
    </w:p>
    <w:p>
      <w:pPr>
        <w:pStyle w:val="ListParagraph"/>
        <w:numPr>
          <w:ilvl w:val="0"/>
          <w:numId w:val="5"/>
        </w:numPr>
        <w:spacing w:after="60" w:before="60"/>
      </w:pPr>
      <w:r>
        <w:rPr>
          <w:rFonts w:ascii="Arial" w:cs="Arial" w:eastAsia="Arial" w:hAnsi="Arial"/>
          <w:color w:val="1E293B"/>
          <w:sz w:val="22"/>
          <w:szCs w:val="22"/>
        </w:rPr>
        <w:t xml:space="preserve">A maximum of one Community Membership per email address shall be permitted.</w:t>
      </w:r>
    </w:p>
    <w:p>
      <w:pPr>
        <w:pStyle w:val="Heading3"/>
        <w:spacing w:after="100" w:before="200"/>
      </w:pPr>
      <w:r>
        <w:rPr>
          <w:rFonts w:ascii="Arial" w:cs="Arial" w:eastAsia="Arial" w:hAnsi="Arial"/>
          <w:b/>
          <w:bCs/>
          <w:color w:val="0D2B4E"/>
          <w:sz w:val="22"/>
          <w:szCs w:val="22"/>
        </w:rPr>
        <w:t xml:space="preserve">10.2  Supporting Members</w:t>
      </w:r>
    </w:p>
    <w:p>
      <w:pPr>
        <w:pStyle w:val="ListParagraph"/>
        <w:numPr>
          <w:ilvl w:val="0"/>
          <w:numId w:val="5"/>
        </w:numPr>
        <w:spacing w:after="60" w:before="60"/>
      </w:pPr>
      <w:r>
        <w:rPr>
          <w:rFonts w:ascii="Arial" w:cs="Arial" w:eastAsia="Arial" w:hAnsi="Arial"/>
          <w:color w:val="1E293B"/>
          <w:sz w:val="22"/>
          <w:szCs w:val="22"/>
        </w:rPr>
        <w:t xml:space="preserve">All requirements of clause 10.1, plus:</w:t>
      </w:r>
    </w:p>
    <w:p>
      <w:pPr>
        <w:pStyle w:val="ListParagraph"/>
        <w:numPr>
          <w:ilvl w:val="0"/>
          <w:numId w:val="5"/>
        </w:numPr>
        <w:spacing w:after="60" w:before="60"/>
      </w:pPr>
      <w:r>
        <w:rPr>
          <w:rFonts w:ascii="Arial" w:cs="Arial" w:eastAsia="Arial" w:hAnsi="Arial"/>
          <w:color w:val="1E293B"/>
          <w:sz w:val="22"/>
          <w:szCs w:val="22"/>
        </w:rPr>
        <w:t xml:space="preserve">A mobile telephone number shall be verified by one-time password (OTP) SMS.</w:t>
      </w:r>
    </w:p>
    <w:p>
      <w:pPr>
        <w:pStyle w:val="ListParagraph"/>
        <w:numPr>
          <w:ilvl w:val="0"/>
          <w:numId w:val="5"/>
        </w:numPr>
        <w:spacing w:after="60" w:before="60"/>
      </w:pPr>
      <w:r>
        <w:rPr>
          <w:rFonts w:ascii="Arial" w:cs="Arial" w:eastAsia="Arial" w:hAnsi="Arial"/>
          <w:color w:val="1E293B"/>
          <w:sz w:val="22"/>
          <w:szCs w:val="22"/>
        </w:rPr>
        <w:t xml:space="preserve">The applicant's full legal name and date of birth shall be collected. A non-reversible cryptographic hash of the national identity number or passport number shall be stored for uniqueness checking without retaining the raw document number.</w:t>
      </w:r>
    </w:p>
    <w:p>
      <w:pPr>
        <w:pStyle w:val="ListParagraph"/>
        <w:numPr>
          <w:ilvl w:val="0"/>
          <w:numId w:val="5"/>
        </w:numPr>
        <w:spacing w:after="60" w:before="60"/>
      </w:pPr>
      <w:r>
        <w:rPr>
          <w:rFonts w:ascii="Arial" w:cs="Arial" w:eastAsia="Arial" w:hAnsi="Arial"/>
          <w:color w:val="1E293B"/>
          <w:sz w:val="22"/>
          <w:szCs w:val="22"/>
        </w:rPr>
        <w:t xml:space="preserve">Only one Supporting Membership per unique identity hash shall be permitted. The Board Secretary shall conduct a de-duplication check prior to confirmation.</w:t>
      </w:r>
    </w:p>
    <w:p>
      <w:pPr>
        <w:pStyle w:val="ListParagraph"/>
        <w:numPr>
          <w:ilvl w:val="0"/>
          <w:numId w:val="5"/>
        </w:numPr>
        <w:spacing w:after="60" w:before="60"/>
      </w:pPr>
      <w:r>
        <w:rPr>
          <w:rFonts w:ascii="Arial" w:cs="Arial" w:eastAsia="Arial" w:hAnsi="Arial"/>
          <w:color w:val="1E293B"/>
          <w:sz w:val="22"/>
          <w:szCs w:val="22"/>
        </w:rPr>
        <w:t xml:space="preserve">The Board reserves the right to require submission of a government-issued photo ID in cases where identity cannot be confirmed by other means.</w:t>
      </w:r>
    </w:p>
    <w:p>
      <w:pPr>
        <w:pStyle w:val="Heading3"/>
        <w:spacing w:after="100" w:before="200"/>
      </w:pPr>
      <w:r>
        <w:rPr>
          <w:rFonts w:ascii="Arial" w:cs="Arial" w:eastAsia="Arial" w:hAnsi="Arial"/>
          <w:b/>
          <w:bCs/>
          <w:color w:val="0D2B4E"/>
          <w:sz w:val="22"/>
          <w:szCs w:val="22"/>
        </w:rPr>
        <w:t xml:space="preserve">10.3  Organisational Partners</w:t>
      </w:r>
    </w:p>
    <w:p>
      <w:pPr>
        <w:pStyle w:val="ListParagraph"/>
        <w:numPr>
          <w:ilvl w:val="0"/>
          <w:numId w:val="5"/>
        </w:numPr>
        <w:spacing w:after="60" w:before="60"/>
      </w:pPr>
      <w:r>
        <w:rPr>
          <w:rFonts w:ascii="Arial" w:cs="Arial" w:eastAsia="Arial" w:hAnsi="Arial"/>
          <w:color w:val="1E293B"/>
          <w:sz w:val="22"/>
          <w:szCs w:val="22"/>
        </w:rPr>
        <w:t xml:space="preserve">All requirements of clause 10.2, plus:</w:t>
      </w:r>
    </w:p>
    <w:p>
      <w:pPr>
        <w:pStyle w:val="ListParagraph"/>
        <w:numPr>
          <w:ilvl w:val="0"/>
          <w:numId w:val="5"/>
        </w:numPr>
        <w:spacing w:after="60" w:before="60"/>
      </w:pPr>
      <w:r>
        <w:rPr>
          <w:rFonts w:ascii="Arial" w:cs="Arial" w:eastAsia="Arial" w:hAnsi="Arial"/>
          <w:color w:val="1E293B"/>
          <w:sz w:val="22"/>
          <w:szCs w:val="22"/>
        </w:rPr>
        <w:t xml:space="preserve">The applicant organisation must provide its Fiji company or society registration number, which shall be verified against the Fiji FRCS or Companies Office register.</w:t>
      </w:r>
    </w:p>
    <w:p>
      <w:pPr>
        <w:pStyle w:val="ListParagraph"/>
        <w:numPr>
          <w:ilvl w:val="0"/>
          <w:numId w:val="5"/>
        </w:numPr>
        <w:spacing w:after="60" w:before="60"/>
      </w:pPr>
      <w:r>
        <w:rPr>
          <w:rFonts w:ascii="Arial" w:cs="Arial" w:eastAsia="Arial" w:hAnsi="Arial"/>
          <w:color w:val="1E293B"/>
          <w:sz w:val="22"/>
          <w:szCs w:val="22"/>
        </w:rPr>
        <w:t xml:space="preserve">A formal authorised representative letter on the organisation's letterhead, signed by the CEO or equivalent, shall be submitted.</w:t>
      </w:r>
    </w:p>
    <w:p>
      <w:pPr>
        <w:pStyle w:val="ListParagraph"/>
        <w:numPr>
          <w:ilvl w:val="0"/>
          <w:numId w:val="5"/>
        </w:numPr>
        <w:spacing w:after="60" w:before="60"/>
      </w:pPr>
      <w:r>
        <w:rPr>
          <w:rFonts w:ascii="Arial" w:cs="Arial" w:eastAsia="Arial" w:hAnsi="Arial"/>
          <w:color w:val="1E293B"/>
          <w:sz w:val="22"/>
          <w:szCs w:val="22"/>
        </w:rPr>
        <w:t xml:space="preserve">The Board Secretary shall verify the registration and authorisation within 21 days.</w:t>
      </w:r>
    </w:p>
    <w:p>
      <w:pPr>
        <w:pStyle w:val="Heading3"/>
        <w:spacing w:after="100" w:before="200"/>
      </w:pPr>
      <w:r>
        <w:rPr>
          <w:rFonts w:ascii="Arial" w:cs="Arial" w:eastAsia="Arial" w:hAnsi="Arial"/>
          <w:b/>
          <w:bCs/>
          <w:color w:val="0D2B4E"/>
          <w:sz w:val="22"/>
          <w:szCs w:val="22"/>
        </w:rPr>
        <w:t xml:space="preserve">10.4  Founding Patrons</w:t>
      </w:r>
    </w:p>
    <w:p>
      <w:pPr>
        <w:pStyle w:val="ListParagraph"/>
        <w:numPr>
          <w:ilvl w:val="0"/>
          <w:numId w:val="5"/>
        </w:numPr>
        <w:spacing w:after="60" w:before="60"/>
      </w:pPr>
      <w:r>
        <w:rPr>
          <w:rFonts w:ascii="Arial" w:cs="Arial" w:eastAsia="Arial" w:hAnsi="Arial"/>
          <w:color w:val="1E293B"/>
          <w:sz w:val="22"/>
          <w:szCs w:val="22"/>
        </w:rPr>
        <w:t xml:space="preserve">All requirements of clause 10.3, plus:</w:t>
      </w:r>
    </w:p>
    <w:p>
      <w:pPr>
        <w:pStyle w:val="ListParagraph"/>
        <w:numPr>
          <w:ilvl w:val="0"/>
          <w:numId w:val="5"/>
        </w:numPr>
        <w:spacing w:after="60" w:before="60"/>
      </w:pPr>
      <w:r>
        <w:rPr>
          <w:rFonts w:ascii="Arial" w:cs="Arial" w:eastAsia="Arial" w:hAnsi="Arial"/>
          <w:color w:val="1E293B"/>
          <w:sz w:val="22"/>
          <w:szCs w:val="22"/>
        </w:rPr>
        <w:t xml:space="preserve">Full Anti-Money Laundering (AML) and Know Your Customer (KYC) checks consistent with the Financial Transactions Reporting Act 2004 (Fiji) shall be conducted.</w:t>
      </w:r>
    </w:p>
    <w:p>
      <w:pPr>
        <w:pStyle w:val="ListParagraph"/>
        <w:numPr>
          <w:ilvl w:val="0"/>
          <w:numId w:val="5"/>
        </w:numPr>
        <w:spacing w:after="60" w:before="60"/>
      </w:pPr>
      <w:r>
        <w:rPr>
          <w:rFonts w:ascii="Arial" w:cs="Arial" w:eastAsia="Arial" w:hAnsi="Arial"/>
          <w:color w:val="1E293B"/>
          <w:sz w:val="22"/>
          <w:szCs w:val="22"/>
        </w:rPr>
        <w:t xml:space="preserve">A Memorandum of Understanding (MOU) setting out the nature of the relationship, the term, and reporting obligations shall be executed between the Patron and the Foundation.</w:t>
      </w:r>
    </w:p>
    <w:p>
      <w:pPr>
        <w:pStyle w:val="ListParagraph"/>
        <w:numPr>
          <w:ilvl w:val="0"/>
          <w:numId w:val="5"/>
        </w:numPr>
        <w:spacing w:after="60" w:before="60"/>
      </w:pPr>
      <w:r>
        <w:rPr>
          <w:rFonts w:ascii="Arial" w:cs="Arial" w:eastAsia="Arial" w:hAnsi="Arial"/>
          <w:color w:val="1E293B"/>
          <w:sz w:val="22"/>
          <w:szCs w:val="22"/>
        </w:rPr>
        <w:t xml:space="preserve">The Board shall approve each Founding Patron by resolution with a two-thirds majority.</w:t>
      </w:r>
    </w:p>
    <w:p>
      <w:pPr>
        <w:pStyle w:val="Heading3"/>
        <w:spacing w:after="100" w:before="200"/>
      </w:pPr>
      <w:r>
        <w:rPr>
          <w:rFonts w:ascii="Arial" w:cs="Arial" w:eastAsia="Arial" w:hAnsi="Arial"/>
          <w:b/>
          <w:bCs/>
          <w:color w:val="0D2B4E"/>
          <w:sz w:val="22"/>
          <w:szCs w:val="22"/>
        </w:rPr>
        <w:t xml:space="preserve">10.5  General Anti-Gaming Provisions</w:t>
      </w:r>
    </w:p>
    <w:p>
      <w:pPr>
        <w:pStyle w:val="ListParagraph"/>
        <w:numPr>
          <w:ilvl w:val="0"/>
          <w:numId w:val="6"/>
        </w:numPr>
        <w:spacing w:after="60" w:before="60"/>
      </w:pPr>
      <w:r>
        <w:rPr>
          <w:rFonts w:ascii="Arial" w:cs="Arial" w:eastAsia="Arial" w:hAnsi="Arial"/>
          <w:color w:val="1E293B"/>
          <w:sz w:val="22"/>
          <w:szCs w:val="22"/>
        </w:rPr>
        <w:t xml:space="preserve">No single individual or connected group of individuals shall hold more than one voting membership simultaneously.</w:t>
      </w:r>
    </w:p>
    <w:p>
      <w:pPr>
        <w:pStyle w:val="ListParagraph"/>
        <w:numPr>
          <w:ilvl w:val="0"/>
          <w:numId w:val="6"/>
        </w:numPr>
        <w:spacing w:after="60" w:before="60"/>
      </w:pPr>
      <w:r>
        <w:rPr>
          <w:rFonts w:ascii="Arial" w:cs="Arial" w:eastAsia="Arial" w:hAnsi="Arial"/>
          <w:color w:val="1E293B"/>
          <w:sz w:val="22"/>
          <w:szCs w:val="22"/>
        </w:rPr>
        <w:t xml:space="preserve">The Board may suspend or revoke membership of any person or entity found to have provided false information or to have obtained membership through gaming, collusion, or misrepresentation, without refund of fees paid.</w:t>
      </w:r>
    </w:p>
    <w:p>
      <w:pPr>
        <w:pStyle w:val="ListParagraph"/>
        <w:numPr>
          <w:ilvl w:val="0"/>
          <w:numId w:val="6"/>
        </w:numPr>
        <w:spacing w:after="60" w:before="60"/>
      </w:pPr>
      <w:r>
        <w:rPr>
          <w:rFonts w:ascii="Arial" w:cs="Arial" w:eastAsia="Arial" w:hAnsi="Arial"/>
          <w:color w:val="1E293B"/>
          <w:sz w:val="22"/>
          <w:szCs w:val="22"/>
        </w:rPr>
        <w:t xml:space="preserve">The Board may at any time request additional verification from any Member, and failure to comply within 30 days shall constitute grounds for suspension.</w:t>
      </w:r>
    </w:p>
    <w:p>
      <w:pPr>
        <w:pStyle w:val="ListParagraph"/>
        <w:numPr>
          <w:ilvl w:val="0"/>
          <w:numId w:val="6"/>
        </w:numPr>
        <w:spacing w:after="60" w:before="60"/>
      </w:pPr>
      <w:r>
        <w:rPr>
          <w:rFonts w:ascii="Arial" w:cs="Arial" w:eastAsia="Arial" w:hAnsi="Arial"/>
          <w:color w:val="1E293B"/>
          <w:sz w:val="22"/>
          <w:szCs w:val="22"/>
        </w:rPr>
        <w:t xml:space="preserve">Membership data shall be held in accordance with the Foundation's Privacy and Data Policy and applicable Fijian privacy law.</w:t>
      </w:r>
    </w:p>
    <w:p>
      <w:pPr>
        <w:spacing w:after="0" w:before="120"/>
      </w:pPr>
    </w:p>
    <w:p>
      <w:pPr>
        <w:pStyle w:val="Heading2"/>
        <w:spacing w:after="120" w:before="300"/>
      </w:pPr>
      <w:r>
        <w:rPr>
          <w:rFonts w:ascii="Arial" w:cs="Arial" w:eastAsia="Arial" w:hAnsi="Arial"/>
          <w:b/>
          <w:bCs/>
          <w:color w:val="0E7490"/>
          <w:sz w:val="24"/>
          <w:szCs w:val="24"/>
        </w:rPr>
        <w:t xml:space="preserve">11.  Membership Register</w:t>
      </w:r>
    </w:p>
    <w:p>
      <w:pPr>
        <w:spacing w:after="80" w:before="80"/>
        <w:jc w:val="left"/>
      </w:pPr>
      <w:r>
        <w:rPr>
          <w:rFonts w:ascii="Arial" w:cs="Arial" w:eastAsia="Arial" w:hAnsi="Arial"/>
          <w:color w:val="1E293B"/>
          <w:sz w:val="22"/>
          <w:szCs w:val="22"/>
        </w:rPr>
        <w:t xml:space="preserve">The Secretary shall maintain a current and accurate Membership Register recording, for each Member: full name, class of membership, contact details, date of admission, and date of any termination. The Register shall be made available for inspection by any Member in good standing upon reasonable written request.</w:t>
      </w:r>
    </w:p>
    <w:p>
      <w:pPr>
        <w:spacing w:after="0" w:before="120"/>
      </w:pPr>
    </w:p>
    <w:p>
      <w:pPr>
        <w:pStyle w:val="Heading2"/>
        <w:spacing w:after="120" w:before="300"/>
      </w:pPr>
      <w:r>
        <w:rPr>
          <w:rFonts w:ascii="Arial" w:cs="Arial" w:eastAsia="Arial" w:hAnsi="Arial"/>
          <w:b/>
          <w:bCs/>
          <w:color w:val="0E7490"/>
          <w:sz w:val="24"/>
          <w:szCs w:val="24"/>
        </w:rPr>
        <w:t xml:space="preserve">12.  Obligations of Members</w:t>
      </w:r>
    </w:p>
    <w:p>
      <w:pPr>
        <w:pStyle w:val="ListParagraph"/>
        <w:numPr>
          <w:ilvl w:val="0"/>
          <w:numId w:val="7"/>
        </w:numPr>
        <w:spacing w:after="60" w:before="60"/>
      </w:pPr>
      <w:r>
        <w:rPr>
          <w:rFonts w:ascii="Arial" w:cs="Arial" w:eastAsia="Arial" w:hAnsi="Arial"/>
          <w:color w:val="1E293B"/>
          <w:sz w:val="22"/>
          <w:szCs w:val="22"/>
        </w:rPr>
        <w:t xml:space="preserve">Each Member shall uphold the objects, values, and reputation of the Foundation.</w:t>
      </w:r>
    </w:p>
    <w:p>
      <w:pPr>
        <w:pStyle w:val="ListParagraph"/>
        <w:numPr>
          <w:ilvl w:val="0"/>
          <w:numId w:val="7"/>
        </w:numPr>
        <w:spacing w:after="60" w:before="60"/>
      </w:pPr>
      <w:r>
        <w:rPr>
          <w:rFonts w:ascii="Arial" w:cs="Arial" w:eastAsia="Arial" w:hAnsi="Arial"/>
          <w:color w:val="1E293B"/>
          <w:sz w:val="22"/>
          <w:szCs w:val="22"/>
        </w:rPr>
        <w:t xml:space="preserve">Each Member shall pay all applicable subscription fees by the due date.</w:t>
      </w:r>
    </w:p>
    <w:p>
      <w:pPr>
        <w:pStyle w:val="ListParagraph"/>
        <w:numPr>
          <w:ilvl w:val="0"/>
          <w:numId w:val="7"/>
        </w:numPr>
        <w:spacing w:after="60" w:before="60"/>
      </w:pPr>
      <w:r>
        <w:rPr>
          <w:rFonts w:ascii="Arial" w:cs="Arial" w:eastAsia="Arial" w:hAnsi="Arial"/>
          <w:color w:val="1E293B"/>
          <w:sz w:val="22"/>
          <w:szCs w:val="22"/>
        </w:rPr>
        <w:t xml:space="preserve">Each Member shall promptly notify the Secretary of any change to their contact details or (for organisations) their authorised representative.</w:t>
      </w:r>
    </w:p>
    <w:p>
      <w:pPr>
        <w:pStyle w:val="ListParagraph"/>
        <w:numPr>
          <w:ilvl w:val="0"/>
          <w:numId w:val="7"/>
        </w:numPr>
        <w:spacing w:after="60" w:before="60"/>
      </w:pPr>
      <w:r>
        <w:rPr>
          <w:rFonts w:ascii="Arial" w:cs="Arial" w:eastAsia="Arial" w:hAnsi="Arial"/>
          <w:color w:val="1E293B"/>
          <w:sz w:val="22"/>
          <w:szCs w:val="22"/>
        </w:rPr>
        <w:t xml:space="preserve">Members shall not act in any way that brings the Foundation into disrepute.</w:t>
      </w:r>
    </w:p>
    <w:p>
      <w:pPr>
        <w:spacing w:after="0" w:before="120"/>
      </w:pPr>
    </w:p>
    <w:p>
      <w:pPr>
        <w:pStyle w:val="Heading2"/>
        <w:spacing w:after="120" w:before="300"/>
      </w:pPr>
      <w:r>
        <w:rPr>
          <w:rFonts w:ascii="Arial" w:cs="Arial" w:eastAsia="Arial" w:hAnsi="Arial"/>
          <w:b/>
          <w:bCs/>
          <w:color w:val="0E7490"/>
          <w:sz w:val="24"/>
          <w:szCs w:val="24"/>
        </w:rPr>
        <w:t xml:space="preserve">13.  Termination of Membership</w:t>
      </w:r>
    </w:p>
    <w:p>
      <w:pPr>
        <w:spacing w:after="80" w:before="80"/>
        <w:jc w:val="left"/>
      </w:pPr>
      <w:r>
        <w:rPr>
          <w:rFonts w:ascii="Arial" w:cs="Arial" w:eastAsia="Arial" w:hAnsi="Arial"/>
          <w:color w:val="1E293B"/>
          <w:sz w:val="22"/>
          <w:szCs w:val="22"/>
        </w:rPr>
        <w:t xml:space="preserve">Membership shall cease upon:</w:t>
      </w:r>
    </w:p>
    <w:p>
      <w:pPr>
        <w:pStyle w:val="ListParagraph"/>
        <w:numPr>
          <w:ilvl w:val="0"/>
          <w:numId w:val="8"/>
        </w:numPr>
        <w:spacing w:after="60" w:before="60"/>
      </w:pPr>
      <w:r>
        <w:rPr>
          <w:rFonts w:ascii="Arial" w:cs="Arial" w:eastAsia="Arial" w:hAnsi="Arial"/>
          <w:color w:val="1E293B"/>
          <w:sz w:val="22"/>
          <w:szCs w:val="22"/>
        </w:rPr>
        <w:t xml:space="preserve">written resignation submitted by the Member to the Secretary;</w:t>
      </w:r>
    </w:p>
    <w:p>
      <w:pPr>
        <w:pStyle w:val="ListParagraph"/>
        <w:numPr>
          <w:ilvl w:val="0"/>
          <w:numId w:val="8"/>
        </w:numPr>
        <w:spacing w:after="60" w:before="60"/>
      </w:pPr>
      <w:r>
        <w:rPr>
          <w:rFonts w:ascii="Arial" w:cs="Arial" w:eastAsia="Arial" w:hAnsi="Arial"/>
          <w:color w:val="1E293B"/>
          <w:sz w:val="22"/>
          <w:szCs w:val="22"/>
        </w:rPr>
        <w:t xml:space="preserve">failure to pay the annual subscription within 60 days of the due date after written notice;</w:t>
      </w:r>
    </w:p>
    <w:p>
      <w:pPr>
        <w:pStyle w:val="ListParagraph"/>
        <w:numPr>
          <w:ilvl w:val="0"/>
          <w:numId w:val="8"/>
        </w:numPr>
        <w:spacing w:after="60" w:before="60"/>
      </w:pPr>
      <w:r>
        <w:rPr>
          <w:rFonts w:ascii="Arial" w:cs="Arial" w:eastAsia="Arial" w:hAnsi="Arial"/>
          <w:color w:val="1E293B"/>
          <w:sz w:val="22"/>
          <w:szCs w:val="22"/>
        </w:rPr>
        <w:t xml:space="preserve">death or (for an organisation) dissolution or deregistration;</w:t>
      </w:r>
    </w:p>
    <w:p>
      <w:pPr>
        <w:pStyle w:val="ListParagraph"/>
        <w:numPr>
          <w:ilvl w:val="0"/>
          <w:numId w:val="8"/>
        </w:numPr>
        <w:spacing w:after="60" w:before="60"/>
      </w:pPr>
      <w:r>
        <w:rPr>
          <w:rFonts w:ascii="Arial" w:cs="Arial" w:eastAsia="Arial" w:hAnsi="Arial"/>
          <w:color w:val="1E293B"/>
          <w:sz w:val="22"/>
          <w:szCs w:val="22"/>
        </w:rPr>
        <w:t xml:space="preserve">expulsion by a two-thirds resolution of the Board following a fair process under clause 14.</w:t>
      </w:r>
    </w:p>
    <w:p>
      <w:pPr>
        <w:spacing w:after="0" w:before="120"/>
      </w:pPr>
    </w:p>
    <w:p>
      <w:pPr>
        <w:pStyle w:val="Heading2"/>
        <w:spacing w:after="120" w:before="300"/>
      </w:pPr>
      <w:r>
        <w:rPr>
          <w:rFonts w:ascii="Arial" w:cs="Arial" w:eastAsia="Arial" w:hAnsi="Arial"/>
          <w:b/>
          <w:bCs/>
          <w:color w:val="0E7490"/>
          <w:sz w:val="24"/>
          <w:szCs w:val="24"/>
        </w:rPr>
        <w:t xml:space="preserve">14.  Disciplinary Process</w:t>
      </w:r>
    </w:p>
    <w:p>
      <w:pPr>
        <w:pStyle w:val="ListParagraph"/>
        <w:numPr>
          <w:ilvl w:val="0"/>
          <w:numId w:val="9"/>
        </w:numPr>
        <w:spacing w:after="60" w:before="60"/>
      </w:pPr>
      <w:r>
        <w:rPr>
          <w:rFonts w:ascii="Arial" w:cs="Arial" w:eastAsia="Arial" w:hAnsi="Arial"/>
          <w:color w:val="1E293B"/>
          <w:sz w:val="22"/>
          <w:szCs w:val="22"/>
        </w:rPr>
        <w:t xml:space="preserve">The Board may commence disciplinary proceedings against a Member where there is reasonable cause to believe the Member has breached this Constitution, the Foundation's Code of Conduct, or has acted in a manner detrimental to the Foundation.</w:t>
      </w:r>
    </w:p>
    <w:p>
      <w:pPr>
        <w:pStyle w:val="ListParagraph"/>
        <w:numPr>
          <w:ilvl w:val="0"/>
          <w:numId w:val="9"/>
        </w:numPr>
        <w:spacing w:after="60" w:before="60"/>
      </w:pPr>
      <w:r>
        <w:rPr>
          <w:rFonts w:ascii="Arial" w:cs="Arial" w:eastAsia="Arial" w:hAnsi="Arial"/>
          <w:color w:val="1E293B"/>
          <w:sz w:val="22"/>
          <w:szCs w:val="22"/>
        </w:rPr>
        <w:t xml:space="preserve">The Member shall be given not less than 14 days' written notice of the proposed action and the grounds therefor, and shall have a reasonable opportunity to respond in writing.</w:t>
      </w:r>
    </w:p>
    <w:p>
      <w:pPr>
        <w:pStyle w:val="ListParagraph"/>
        <w:numPr>
          <w:ilvl w:val="0"/>
          <w:numId w:val="9"/>
        </w:numPr>
        <w:spacing w:after="60" w:before="60"/>
      </w:pPr>
      <w:r>
        <w:rPr>
          <w:rFonts w:ascii="Arial" w:cs="Arial" w:eastAsia="Arial" w:hAnsi="Arial"/>
          <w:color w:val="1E293B"/>
          <w:sz w:val="22"/>
          <w:szCs w:val="22"/>
        </w:rPr>
        <w:t xml:space="preserve">The Board shall consider any response and may dismiss the matter, issue a formal warning, suspend membership for a specified period, or expel the Member.</w:t>
      </w:r>
    </w:p>
    <w:p>
      <w:pPr>
        <w:pStyle w:val="ListParagraph"/>
        <w:numPr>
          <w:ilvl w:val="0"/>
          <w:numId w:val="9"/>
        </w:numPr>
        <w:spacing w:after="60" w:before="60"/>
      </w:pPr>
      <w:r>
        <w:rPr>
          <w:rFonts w:ascii="Arial" w:cs="Arial" w:eastAsia="Arial" w:hAnsi="Arial"/>
          <w:color w:val="1E293B"/>
          <w:sz w:val="22"/>
          <w:szCs w:val="22"/>
        </w:rPr>
        <w:t xml:space="preserve">An expelled Member may appeal the decision to a General Meeting within 30 days. The decision of the General Meeting shall be final.</w:t>
      </w:r>
    </w:p>
    <w:p>
      <w:pPr>
        <w:spacing w:after="0" w:before="120"/>
      </w:pPr>
    </w:p>
    <w:p>
      <w:r>
        <w:br w:type="page"/>
      </w:r>
    </w:p>
    <w:p>
      <w:pPr>
        <w:pStyle w:val="Heading1"/>
        <w:spacing w:after="160" w:before="400"/>
      </w:pPr>
      <w:r>
        <w:rPr>
          <w:rFonts w:ascii="Arial" w:cs="Arial" w:eastAsia="Arial" w:hAnsi="Arial"/>
          <w:b/>
          <w:bCs/>
          <w:color w:val="0D2B4E"/>
          <w:sz w:val="28"/>
          <w:szCs w:val="28"/>
        </w:rPr>
        <w:t xml:space="preserve">PART IV — GOVERNANCE AND BOARD OF DIRECTORS</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15.  Board Composition</w:t>
      </w:r>
    </w:p>
    <w:p>
      <w:pPr>
        <w:pStyle w:val="ListParagraph"/>
        <w:numPr>
          <w:ilvl w:val="0"/>
          <w:numId w:val="10"/>
        </w:numPr>
        <w:spacing w:after="60" w:before="60"/>
      </w:pPr>
      <w:r>
        <w:rPr>
          <w:rFonts w:ascii="Arial" w:cs="Arial" w:eastAsia="Arial" w:hAnsi="Arial"/>
          <w:color w:val="1E293B"/>
          <w:sz w:val="22"/>
          <w:szCs w:val="22"/>
        </w:rPr>
        <w:t xml:space="preserve">The Foundation shall be governed by a Board of Directors comprising not fewer than five (5) and not more than eleven (11) Directors.</w:t>
      </w:r>
    </w:p>
    <w:p>
      <w:pPr>
        <w:pStyle w:val="ListParagraph"/>
        <w:numPr>
          <w:ilvl w:val="0"/>
          <w:numId w:val="10"/>
        </w:numPr>
        <w:spacing w:after="60" w:before="60"/>
      </w:pPr>
      <w:r>
        <w:rPr>
          <w:rFonts w:ascii="Arial" w:cs="Arial" w:eastAsia="Arial" w:hAnsi="Arial"/>
          <w:color w:val="1E293B"/>
          <w:sz w:val="22"/>
          <w:szCs w:val="22"/>
        </w:rPr>
        <w:t xml:space="preserve">The Board shall include the following elected positions: Chairperson, Deputy Chairperson, Treasurer, and Secretary.</w:t>
      </w:r>
    </w:p>
    <w:p>
      <w:pPr>
        <w:pStyle w:val="ListParagraph"/>
        <w:numPr>
          <w:ilvl w:val="0"/>
          <w:numId w:val="10"/>
        </w:numPr>
        <w:spacing w:after="60" w:before="60"/>
      </w:pPr>
      <w:r>
        <w:rPr>
          <w:rFonts w:ascii="Arial" w:cs="Arial" w:eastAsia="Arial" w:hAnsi="Arial"/>
          <w:color w:val="1E293B"/>
          <w:sz w:val="22"/>
          <w:szCs w:val="22"/>
        </w:rPr>
        <w:t xml:space="preserve">The Board may co-opt up to three (3) independent Directors possessing skills or expertise beneficial to the Foundation's objects. Co-opted Directors shall have full voting rights at Board level but shall not be elected by Members.</w:t>
      </w:r>
    </w:p>
    <w:p>
      <w:pPr>
        <w:pStyle w:val="ListParagraph"/>
        <w:numPr>
          <w:ilvl w:val="0"/>
          <w:numId w:val="10"/>
        </w:numPr>
        <w:spacing w:after="60" w:before="60"/>
      </w:pPr>
      <w:r>
        <w:rPr>
          <w:rFonts w:ascii="Arial" w:cs="Arial" w:eastAsia="Arial" w:hAnsi="Arial"/>
          <w:color w:val="1E293B"/>
          <w:sz w:val="22"/>
          <w:szCs w:val="22"/>
        </w:rPr>
        <w:t xml:space="preserve">At least one Director shall be a representative nominated by an indigenous community group with recognised interests in Suva Harbour.</w:t>
      </w:r>
    </w:p>
    <w:p>
      <w:pPr>
        <w:pStyle w:val="ListParagraph"/>
        <w:numPr>
          <w:ilvl w:val="0"/>
          <w:numId w:val="10"/>
        </w:numPr>
        <w:spacing w:after="60" w:before="60"/>
      </w:pPr>
      <w:r>
        <w:rPr>
          <w:rFonts w:ascii="Arial" w:cs="Arial" w:eastAsia="Arial" w:hAnsi="Arial"/>
          <w:color w:val="1E293B"/>
          <w:sz w:val="22"/>
          <w:szCs w:val="22"/>
        </w:rPr>
        <w:t xml:space="preserve">A majority of Directors shall be ordinarily resident in Fiji.</w:t>
      </w:r>
    </w:p>
    <w:p>
      <w:pPr>
        <w:spacing w:after="0" w:before="120"/>
      </w:pPr>
    </w:p>
    <w:p>
      <w:pPr>
        <w:pStyle w:val="Heading2"/>
        <w:spacing w:after="120" w:before="300"/>
      </w:pPr>
      <w:r>
        <w:rPr>
          <w:rFonts w:ascii="Arial" w:cs="Arial" w:eastAsia="Arial" w:hAnsi="Arial"/>
          <w:b/>
          <w:bCs/>
          <w:color w:val="0E7490"/>
          <w:sz w:val="24"/>
          <w:szCs w:val="24"/>
        </w:rPr>
        <w:t xml:space="preserve">16.  Election of Directors</w:t>
      </w:r>
    </w:p>
    <w:p>
      <w:pPr>
        <w:pStyle w:val="ListParagraph"/>
        <w:numPr>
          <w:ilvl w:val="0"/>
          <w:numId w:val="11"/>
        </w:numPr>
        <w:spacing w:after="60" w:before="60"/>
      </w:pPr>
      <w:r>
        <w:rPr>
          <w:rFonts w:ascii="Arial" w:cs="Arial" w:eastAsia="Arial" w:hAnsi="Arial"/>
          <w:color w:val="1E293B"/>
          <w:sz w:val="22"/>
          <w:szCs w:val="22"/>
        </w:rPr>
        <w:t xml:space="preserve">Elected Directors shall be chosen by Supporting Members, Organisational Partners, and Founding Patrons (together, 'Voting Members') at the AGM by secret ballot.</w:t>
      </w:r>
    </w:p>
    <w:p>
      <w:pPr>
        <w:pStyle w:val="ListParagraph"/>
        <w:numPr>
          <w:ilvl w:val="0"/>
          <w:numId w:val="11"/>
        </w:numPr>
        <w:spacing w:after="60" w:before="60"/>
      </w:pPr>
      <w:r>
        <w:rPr>
          <w:rFonts w:ascii="Arial" w:cs="Arial" w:eastAsia="Arial" w:hAnsi="Arial"/>
          <w:color w:val="1E293B"/>
          <w:sz w:val="22"/>
          <w:szCs w:val="22"/>
        </w:rPr>
        <w:t xml:space="preserve">Directors shall serve a term of two (2) years and shall be eligible for re-election for a maximum of two (2) consecutive terms (four years total). A Director who has served two consecutive terms may stand again after a minimum absence of one full term.</w:t>
      </w:r>
    </w:p>
    <w:p>
      <w:pPr>
        <w:pStyle w:val="ListParagraph"/>
        <w:numPr>
          <w:ilvl w:val="0"/>
          <w:numId w:val="11"/>
        </w:numPr>
        <w:spacing w:after="60" w:before="60"/>
      </w:pPr>
      <w:r>
        <w:rPr>
          <w:rFonts w:ascii="Arial" w:cs="Arial" w:eastAsia="Arial" w:hAnsi="Arial"/>
          <w:color w:val="1E293B"/>
          <w:sz w:val="22"/>
          <w:szCs w:val="22"/>
        </w:rPr>
        <w:t xml:space="preserve">Nominations for Director shall be submitted in writing to the Secretary not less than 21 days before the AGM. Each nomination shall be signed by the nominee and seconded by a Voting Member.</w:t>
      </w:r>
    </w:p>
    <w:p>
      <w:pPr>
        <w:pStyle w:val="ListParagraph"/>
        <w:numPr>
          <w:ilvl w:val="0"/>
          <w:numId w:val="11"/>
        </w:numPr>
        <w:spacing w:after="60" w:before="60"/>
      </w:pPr>
      <w:r>
        <w:rPr>
          <w:rFonts w:ascii="Arial" w:cs="Arial" w:eastAsia="Arial" w:hAnsi="Arial"/>
          <w:color w:val="1E293B"/>
          <w:sz w:val="22"/>
          <w:szCs w:val="22"/>
        </w:rPr>
        <w:t xml:space="preserve">Where the number of nominees does not exceed the number of vacancies, nominees shall be deemed elected without a ballot.</w:t>
      </w:r>
    </w:p>
    <w:p>
      <w:pPr>
        <w:spacing w:after="0" w:before="120"/>
      </w:pPr>
    </w:p>
    <w:p>
      <w:pPr>
        <w:pStyle w:val="Heading2"/>
        <w:spacing w:after="120" w:before="300"/>
      </w:pPr>
      <w:r>
        <w:rPr>
          <w:rFonts w:ascii="Arial" w:cs="Arial" w:eastAsia="Arial" w:hAnsi="Arial"/>
          <w:b/>
          <w:bCs/>
          <w:color w:val="0E7490"/>
          <w:sz w:val="24"/>
          <w:szCs w:val="24"/>
        </w:rPr>
        <w:t xml:space="preserve">17.  Casual Vacancies</w:t>
      </w:r>
    </w:p>
    <w:p>
      <w:pPr>
        <w:spacing w:after="80" w:before="80"/>
        <w:jc w:val="left"/>
      </w:pPr>
      <w:r>
        <w:rPr>
          <w:rFonts w:ascii="Arial" w:cs="Arial" w:eastAsia="Arial" w:hAnsi="Arial"/>
          <w:color w:val="1E293B"/>
          <w:sz w:val="22"/>
          <w:szCs w:val="22"/>
        </w:rPr>
        <w:t xml:space="preserve">If a casual vacancy arises on the Board, the remaining Directors may appoint a Voting Member to fill the vacancy until the next AGM, at which a fresh election shall be held to fill the remainder of the term (if any).</w:t>
      </w:r>
    </w:p>
    <w:p>
      <w:pPr>
        <w:spacing w:after="0" w:before="120"/>
      </w:pPr>
    </w:p>
    <w:p>
      <w:pPr>
        <w:pStyle w:val="Heading2"/>
        <w:spacing w:after="120" w:before="300"/>
      </w:pPr>
      <w:r>
        <w:rPr>
          <w:rFonts w:ascii="Arial" w:cs="Arial" w:eastAsia="Arial" w:hAnsi="Arial"/>
          <w:b/>
          <w:bCs/>
          <w:color w:val="0E7490"/>
          <w:sz w:val="24"/>
          <w:szCs w:val="24"/>
        </w:rPr>
        <w:t xml:space="preserve">18.  Disqualification of Directors</w:t>
      </w:r>
    </w:p>
    <w:p>
      <w:pPr>
        <w:spacing w:after="80" w:before="80"/>
        <w:jc w:val="left"/>
      </w:pPr>
      <w:r>
        <w:rPr>
          <w:rFonts w:ascii="Arial" w:cs="Arial" w:eastAsia="Arial" w:hAnsi="Arial"/>
          <w:color w:val="1E293B"/>
          <w:sz w:val="22"/>
          <w:szCs w:val="22"/>
        </w:rPr>
        <w:t xml:space="preserve">A person shall be disqualified from acting as a Director if they:</w:t>
      </w:r>
    </w:p>
    <w:p>
      <w:pPr>
        <w:pStyle w:val="ListParagraph"/>
        <w:numPr>
          <w:ilvl w:val="0"/>
          <w:numId w:val="12"/>
        </w:numPr>
        <w:spacing w:after="60" w:before="60"/>
      </w:pPr>
      <w:r>
        <w:rPr>
          <w:rFonts w:ascii="Arial" w:cs="Arial" w:eastAsia="Arial" w:hAnsi="Arial"/>
          <w:color w:val="1E293B"/>
          <w:sz w:val="22"/>
          <w:szCs w:val="22"/>
        </w:rPr>
        <w:t xml:space="preserve">are adjudged bankrupt or enter into a formal insolvency arrangement;</w:t>
      </w:r>
    </w:p>
    <w:p>
      <w:pPr>
        <w:pStyle w:val="ListParagraph"/>
        <w:numPr>
          <w:ilvl w:val="0"/>
          <w:numId w:val="12"/>
        </w:numPr>
        <w:spacing w:after="60" w:before="60"/>
      </w:pPr>
      <w:r>
        <w:rPr>
          <w:rFonts w:ascii="Arial" w:cs="Arial" w:eastAsia="Arial" w:hAnsi="Arial"/>
          <w:color w:val="1E293B"/>
          <w:sz w:val="22"/>
          <w:szCs w:val="22"/>
        </w:rPr>
        <w:t xml:space="preserve">are convicted of an indictable offence in any jurisdiction;</w:t>
      </w:r>
    </w:p>
    <w:p>
      <w:pPr>
        <w:pStyle w:val="ListParagraph"/>
        <w:numPr>
          <w:ilvl w:val="0"/>
          <w:numId w:val="12"/>
        </w:numPr>
        <w:spacing w:after="60" w:before="60"/>
      </w:pPr>
      <w:r>
        <w:rPr>
          <w:rFonts w:ascii="Arial" w:cs="Arial" w:eastAsia="Arial" w:hAnsi="Arial"/>
          <w:color w:val="1E293B"/>
          <w:sz w:val="22"/>
          <w:szCs w:val="22"/>
        </w:rPr>
        <w:t xml:space="preserve">are found by a court to lack mental capacity;</w:t>
      </w:r>
    </w:p>
    <w:p>
      <w:pPr>
        <w:pStyle w:val="ListParagraph"/>
        <w:numPr>
          <w:ilvl w:val="0"/>
          <w:numId w:val="12"/>
        </w:numPr>
        <w:spacing w:after="60" w:before="60"/>
      </w:pPr>
      <w:r>
        <w:rPr>
          <w:rFonts w:ascii="Arial" w:cs="Arial" w:eastAsia="Arial" w:hAnsi="Arial"/>
          <w:color w:val="1E293B"/>
          <w:sz w:val="22"/>
          <w:szCs w:val="22"/>
        </w:rPr>
        <w:t xml:space="preserve">have a conflict of interest that the Board determines to be irreconcilable;</w:t>
      </w:r>
    </w:p>
    <w:p>
      <w:pPr>
        <w:pStyle w:val="ListParagraph"/>
        <w:numPr>
          <w:ilvl w:val="0"/>
          <w:numId w:val="12"/>
        </w:numPr>
        <w:spacing w:after="60" w:before="60"/>
      </w:pPr>
      <w:r>
        <w:rPr>
          <w:rFonts w:ascii="Arial" w:cs="Arial" w:eastAsia="Arial" w:hAnsi="Arial"/>
          <w:color w:val="1E293B"/>
          <w:sz w:val="22"/>
          <w:szCs w:val="22"/>
        </w:rPr>
        <w:t xml:space="preserve">resign from the Board by written notice to the Chairperson;</w:t>
      </w:r>
    </w:p>
    <w:p>
      <w:pPr>
        <w:pStyle w:val="ListParagraph"/>
        <w:numPr>
          <w:ilvl w:val="0"/>
          <w:numId w:val="12"/>
        </w:numPr>
        <w:spacing w:after="60" w:before="60"/>
      </w:pPr>
      <w:r>
        <w:rPr>
          <w:rFonts w:ascii="Arial" w:cs="Arial" w:eastAsia="Arial" w:hAnsi="Arial"/>
          <w:color w:val="1E293B"/>
          <w:sz w:val="22"/>
          <w:szCs w:val="22"/>
        </w:rPr>
        <w:t xml:space="preserve">are absent from three or more consecutive Board meetings without leave of absence; or</w:t>
      </w:r>
    </w:p>
    <w:p>
      <w:pPr>
        <w:pStyle w:val="ListParagraph"/>
        <w:numPr>
          <w:ilvl w:val="0"/>
          <w:numId w:val="12"/>
        </w:numPr>
        <w:spacing w:after="60" w:before="60"/>
      </w:pPr>
      <w:r>
        <w:rPr>
          <w:rFonts w:ascii="Arial" w:cs="Arial" w:eastAsia="Arial" w:hAnsi="Arial"/>
          <w:color w:val="1E293B"/>
          <w:sz w:val="22"/>
          <w:szCs w:val="22"/>
        </w:rPr>
        <w:t xml:space="preserve">are removed by Special Resolution of Voting Members at a General Meeting.</w:t>
      </w:r>
    </w:p>
    <w:p>
      <w:pPr>
        <w:spacing w:after="0" w:before="120"/>
      </w:pPr>
    </w:p>
    <w:p>
      <w:pPr>
        <w:pStyle w:val="Heading2"/>
        <w:spacing w:after="120" w:before="300"/>
      </w:pPr>
      <w:r>
        <w:rPr>
          <w:rFonts w:ascii="Arial" w:cs="Arial" w:eastAsia="Arial" w:hAnsi="Arial"/>
          <w:b/>
          <w:bCs/>
          <w:color w:val="0E7490"/>
          <w:sz w:val="24"/>
          <w:szCs w:val="24"/>
        </w:rPr>
        <w:t xml:space="preserve">19.  Board Meetings</w:t>
      </w:r>
    </w:p>
    <w:p>
      <w:pPr>
        <w:pStyle w:val="ListParagraph"/>
        <w:numPr>
          <w:ilvl w:val="0"/>
          <w:numId w:val="13"/>
        </w:numPr>
        <w:spacing w:after="60" w:before="60"/>
      </w:pPr>
      <w:r>
        <w:rPr>
          <w:rFonts w:ascii="Arial" w:cs="Arial" w:eastAsia="Arial" w:hAnsi="Arial"/>
          <w:color w:val="1E293B"/>
          <w:sz w:val="22"/>
          <w:szCs w:val="22"/>
        </w:rPr>
        <w:t xml:space="preserve">The Board shall meet not fewer than four (4) times per year at intervals of not more than four months.</w:t>
      </w:r>
    </w:p>
    <w:p>
      <w:pPr>
        <w:pStyle w:val="ListParagraph"/>
        <w:numPr>
          <w:ilvl w:val="0"/>
          <w:numId w:val="13"/>
        </w:numPr>
        <w:spacing w:after="60" w:before="60"/>
      </w:pPr>
      <w:r>
        <w:rPr>
          <w:rFonts w:ascii="Arial" w:cs="Arial" w:eastAsia="Arial" w:hAnsi="Arial"/>
          <w:color w:val="1E293B"/>
          <w:sz w:val="22"/>
          <w:szCs w:val="22"/>
        </w:rPr>
        <w:t xml:space="preserve">Meetings may be held in person, by telephone, video conference, or any combination thereof.</w:t>
      </w:r>
    </w:p>
    <w:p>
      <w:pPr>
        <w:pStyle w:val="ListParagraph"/>
        <w:numPr>
          <w:ilvl w:val="0"/>
          <w:numId w:val="13"/>
        </w:numPr>
        <w:spacing w:after="60" w:before="60"/>
      </w:pPr>
      <w:r>
        <w:rPr>
          <w:rFonts w:ascii="Arial" w:cs="Arial" w:eastAsia="Arial" w:hAnsi="Arial"/>
          <w:color w:val="1E293B"/>
          <w:sz w:val="22"/>
          <w:szCs w:val="22"/>
        </w:rPr>
        <w:t xml:space="preserve">Notice of each Board meeting shall be given to all Directors not less than seven (7) days in advance, specifying the agenda.</w:t>
      </w:r>
    </w:p>
    <w:p>
      <w:pPr>
        <w:pStyle w:val="ListParagraph"/>
        <w:numPr>
          <w:ilvl w:val="0"/>
          <w:numId w:val="13"/>
        </w:numPr>
        <w:spacing w:after="60" w:before="60"/>
      </w:pPr>
      <w:r>
        <w:rPr>
          <w:rFonts w:ascii="Arial" w:cs="Arial" w:eastAsia="Arial" w:hAnsi="Arial"/>
          <w:color w:val="1E293B"/>
          <w:sz w:val="22"/>
          <w:szCs w:val="22"/>
        </w:rPr>
        <w:t xml:space="preserve">The quorum for a Board meeting shall be a majority of Directors then in office.</w:t>
      </w:r>
    </w:p>
    <w:p>
      <w:pPr>
        <w:pStyle w:val="ListParagraph"/>
        <w:numPr>
          <w:ilvl w:val="0"/>
          <w:numId w:val="13"/>
        </w:numPr>
        <w:spacing w:after="60" w:before="60"/>
      </w:pPr>
      <w:r>
        <w:rPr>
          <w:rFonts w:ascii="Arial" w:cs="Arial" w:eastAsia="Arial" w:hAnsi="Arial"/>
          <w:color w:val="1E293B"/>
          <w:sz w:val="22"/>
          <w:szCs w:val="22"/>
        </w:rPr>
        <w:t xml:space="preserve">Each Director shall have one vote. The Chairperson shall have a casting vote in the event of a tie.</w:t>
      </w:r>
    </w:p>
    <w:p>
      <w:pPr>
        <w:pStyle w:val="ListParagraph"/>
        <w:numPr>
          <w:ilvl w:val="0"/>
          <w:numId w:val="13"/>
        </w:numPr>
        <w:spacing w:after="60" w:before="60"/>
      </w:pPr>
      <w:r>
        <w:rPr>
          <w:rFonts w:ascii="Arial" w:cs="Arial" w:eastAsia="Arial" w:hAnsi="Arial"/>
          <w:color w:val="1E293B"/>
          <w:sz w:val="22"/>
          <w:szCs w:val="22"/>
        </w:rPr>
        <w:t xml:space="preserve">The Board may pass resolutions by circular (including by email) provided all Directors are given the opportunity to consider the matter and the resolution is confirmed at the next Board meeting.</w:t>
      </w:r>
    </w:p>
    <w:p>
      <w:pPr>
        <w:spacing w:after="0" w:before="120"/>
      </w:pPr>
    </w:p>
    <w:p>
      <w:pPr>
        <w:pStyle w:val="Heading2"/>
        <w:spacing w:after="120" w:before="300"/>
      </w:pPr>
      <w:r>
        <w:rPr>
          <w:rFonts w:ascii="Arial" w:cs="Arial" w:eastAsia="Arial" w:hAnsi="Arial"/>
          <w:b/>
          <w:bCs/>
          <w:color w:val="0E7490"/>
          <w:sz w:val="24"/>
          <w:szCs w:val="24"/>
        </w:rPr>
        <w:t xml:space="preserve">20.  Conflicts of Interest</w:t>
      </w:r>
    </w:p>
    <w:p>
      <w:pPr>
        <w:pStyle w:val="ListParagraph"/>
        <w:numPr>
          <w:ilvl w:val="0"/>
          <w:numId w:val="14"/>
        </w:numPr>
        <w:spacing w:after="60" w:before="60"/>
      </w:pPr>
      <w:r>
        <w:rPr>
          <w:rFonts w:ascii="Arial" w:cs="Arial" w:eastAsia="Arial" w:hAnsi="Arial"/>
          <w:color w:val="1E293B"/>
          <w:sz w:val="22"/>
          <w:szCs w:val="22"/>
        </w:rPr>
        <w:t xml:space="preserve">A Director who has, directly or indirectly, a material personal interest in a matter being considered by the Board must disclose the nature and extent of that interest as soon as practicable.</w:t>
      </w:r>
    </w:p>
    <w:p>
      <w:pPr>
        <w:pStyle w:val="ListParagraph"/>
        <w:numPr>
          <w:ilvl w:val="0"/>
          <w:numId w:val="14"/>
        </w:numPr>
        <w:spacing w:after="60" w:before="60"/>
      </w:pPr>
      <w:r>
        <w:rPr>
          <w:rFonts w:ascii="Arial" w:cs="Arial" w:eastAsia="Arial" w:hAnsi="Arial"/>
          <w:color w:val="1E293B"/>
          <w:sz w:val="22"/>
          <w:szCs w:val="22"/>
        </w:rPr>
        <w:t xml:space="preserve">A Director with a disclosed conflict shall not vote on the relevant matter and shall withdraw from any discussion if the Board so resolves.</w:t>
      </w:r>
    </w:p>
    <w:p>
      <w:pPr>
        <w:pStyle w:val="ListParagraph"/>
        <w:numPr>
          <w:ilvl w:val="0"/>
          <w:numId w:val="14"/>
        </w:numPr>
        <w:spacing w:after="60" w:before="60"/>
      </w:pPr>
      <w:r>
        <w:rPr>
          <w:rFonts w:ascii="Arial" w:cs="Arial" w:eastAsia="Arial" w:hAnsi="Arial"/>
          <w:color w:val="1E293B"/>
          <w:sz w:val="22"/>
          <w:szCs w:val="22"/>
        </w:rPr>
        <w:t xml:space="preserve">All conflicts of interest shall be recorded in the Board minutes.</w:t>
      </w:r>
    </w:p>
    <w:p>
      <w:pPr>
        <w:spacing w:after="0" w:before="120"/>
      </w:pPr>
    </w:p>
    <w:p>
      <w:pPr>
        <w:pStyle w:val="Heading2"/>
        <w:spacing w:after="120" w:before="300"/>
      </w:pPr>
      <w:r>
        <w:rPr>
          <w:rFonts w:ascii="Arial" w:cs="Arial" w:eastAsia="Arial" w:hAnsi="Arial"/>
          <w:b/>
          <w:bCs/>
          <w:color w:val="0E7490"/>
          <w:sz w:val="24"/>
          <w:szCs w:val="24"/>
        </w:rPr>
        <w:t xml:space="preserve">21.  Role of Officers</w:t>
      </w:r>
    </w:p>
    <w:p>
      <w:pPr>
        <w:pStyle w:val="Heading3"/>
        <w:spacing w:after="100" w:before="200"/>
      </w:pPr>
      <w:r>
        <w:rPr>
          <w:rFonts w:ascii="Arial" w:cs="Arial" w:eastAsia="Arial" w:hAnsi="Arial"/>
          <w:b/>
          <w:bCs/>
          <w:color w:val="0D2B4E"/>
          <w:sz w:val="22"/>
          <w:szCs w:val="22"/>
        </w:rPr>
        <w:t xml:space="preserve">21.1  Chairperson</w:t>
      </w:r>
    </w:p>
    <w:p>
      <w:pPr>
        <w:spacing w:after="80" w:before="80"/>
        <w:jc w:val="left"/>
      </w:pPr>
      <w:r>
        <w:rPr>
          <w:rFonts w:ascii="Arial" w:cs="Arial" w:eastAsia="Arial" w:hAnsi="Arial"/>
          <w:color w:val="1E293B"/>
          <w:sz w:val="22"/>
          <w:szCs w:val="22"/>
        </w:rPr>
        <w:t xml:space="preserve">The Chairperson shall preside at all Board and General Meetings, provide strategic leadership, be the principal spokesperson of the Foundation, and perform such other functions as the Board may determine.</w:t>
      </w:r>
    </w:p>
    <w:p>
      <w:pPr>
        <w:pStyle w:val="Heading3"/>
        <w:spacing w:after="100" w:before="200"/>
      </w:pPr>
      <w:r>
        <w:rPr>
          <w:rFonts w:ascii="Arial" w:cs="Arial" w:eastAsia="Arial" w:hAnsi="Arial"/>
          <w:b/>
          <w:bCs/>
          <w:color w:val="0D2B4E"/>
          <w:sz w:val="22"/>
          <w:szCs w:val="22"/>
        </w:rPr>
        <w:t xml:space="preserve">21.2  Treasurer</w:t>
      </w:r>
    </w:p>
    <w:p>
      <w:pPr>
        <w:spacing w:after="80" w:before="80"/>
        <w:jc w:val="left"/>
      </w:pPr>
      <w:r>
        <w:rPr>
          <w:rFonts w:ascii="Arial" w:cs="Arial" w:eastAsia="Arial" w:hAnsi="Arial"/>
          <w:color w:val="1E293B"/>
          <w:sz w:val="22"/>
          <w:szCs w:val="22"/>
        </w:rPr>
        <w:t xml:space="preserve">The Treasurer shall oversee the financial management of the Foundation, ensure compliance with financial reporting obligations, present financial reports to the Board and at the AGM, and work with the auditor to ensure proper financial controls.</w:t>
      </w:r>
    </w:p>
    <w:p>
      <w:pPr>
        <w:pStyle w:val="Heading3"/>
        <w:spacing w:after="100" w:before="200"/>
      </w:pPr>
      <w:r>
        <w:rPr>
          <w:rFonts w:ascii="Arial" w:cs="Arial" w:eastAsia="Arial" w:hAnsi="Arial"/>
          <w:b/>
          <w:bCs/>
          <w:color w:val="0D2B4E"/>
          <w:sz w:val="22"/>
          <w:szCs w:val="22"/>
        </w:rPr>
        <w:t xml:space="preserve">21.3  Secretary</w:t>
      </w:r>
    </w:p>
    <w:p>
      <w:pPr>
        <w:spacing w:after="80" w:before="80"/>
        <w:jc w:val="left"/>
      </w:pPr>
      <w:r>
        <w:rPr>
          <w:rFonts w:ascii="Arial" w:cs="Arial" w:eastAsia="Arial" w:hAnsi="Arial"/>
          <w:color w:val="1E293B"/>
          <w:sz w:val="22"/>
          <w:szCs w:val="22"/>
        </w:rPr>
        <w:t xml:space="preserve">The Secretary shall maintain the Membership Register, give notice of and record minutes of all Board and General Meetings, maintain the Foundation's statutory records, and perform such other administrative functions as the Board requires.</w:t>
      </w:r>
    </w:p>
    <w:p>
      <w:pPr>
        <w:spacing w:after="0" w:before="120"/>
      </w:pPr>
    </w:p>
    <w:p>
      <w:r>
        <w:br w:type="page"/>
      </w:r>
    </w:p>
    <w:p>
      <w:pPr>
        <w:pStyle w:val="Heading1"/>
        <w:spacing w:after="160" w:before="400"/>
      </w:pPr>
      <w:r>
        <w:rPr>
          <w:rFonts w:ascii="Arial" w:cs="Arial" w:eastAsia="Arial" w:hAnsi="Arial"/>
          <w:b/>
          <w:bCs/>
          <w:color w:val="0D2B4E"/>
          <w:sz w:val="28"/>
          <w:szCs w:val="28"/>
        </w:rPr>
        <w:t xml:space="preserve">PART V — GENERAL MEETINGS</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22.  Annual General Meeting</w:t>
      </w:r>
    </w:p>
    <w:p>
      <w:pPr>
        <w:pStyle w:val="ListParagraph"/>
        <w:numPr>
          <w:ilvl w:val="0"/>
          <w:numId w:val="15"/>
        </w:numPr>
        <w:spacing w:after="60" w:before="60"/>
      </w:pPr>
      <w:r>
        <w:rPr>
          <w:rFonts w:ascii="Arial" w:cs="Arial" w:eastAsia="Arial" w:hAnsi="Arial"/>
          <w:color w:val="1E293B"/>
          <w:sz w:val="22"/>
          <w:szCs w:val="22"/>
        </w:rPr>
        <w:t xml:space="preserve">The Foundation shall hold an AGM within five (5) months of the end of each Financial Year.</w:t>
      </w:r>
    </w:p>
    <w:p>
      <w:pPr>
        <w:pStyle w:val="ListParagraph"/>
        <w:numPr>
          <w:ilvl w:val="0"/>
          <w:numId w:val="15"/>
        </w:numPr>
        <w:spacing w:after="60" w:before="60"/>
      </w:pPr>
      <w:r>
        <w:rPr>
          <w:rFonts w:ascii="Arial" w:cs="Arial" w:eastAsia="Arial" w:hAnsi="Arial"/>
          <w:color w:val="1E293B"/>
          <w:sz w:val="22"/>
          <w:szCs w:val="22"/>
        </w:rPr>
        <w:t xml:space="preserve">The AGM shall transact the following business: receive the annual report and audited financial statements; elect Directors; appoint an auditor; receive the Treasurer's financial report; and consider any other business of which proper notice has been given.</w:t>
      </w:r>
    </w:p>
    <w:p>
      <w:pPr>
        <w:pStyle w:val="ListParagraph"/>
        <w:numPr>
          <w:ilvl w:val="0"/>
          <w:numId w:val="15"/>
        </w:numPr>
        <w:spacing w:after="60" w:before="60"/>
      </w:pPr>
      <w:r>
        <w:rPr>
          <w:rFonts w:ascii="Arial" w:cs="Arial" w:eastAsia="Arial" w:hAnsi="Arial"/>
          <w:color w:val="1E293B"/>
          <w:sz w:val="22"/>
          <w:szCs w:val="22"/>
        </w:rPr>
        <w:t xml:space="preserve">Not less than 21 days' written notice of the AGM shall be given to all Members.</w:t>
      </w:r>
    </w:p>
    <w:p>
      <w:pPr>
        <w:spacing w:after="0" w:before="120"/>
      </w:pPr>
    </w:p>
    <w:p>
      <w:pPr>
        <w:pStyle w:val="Heading2"/>
        <w:spacing w:after="120" w:before="300"/>
      </w:pPr>
      <w:r>
        <w:rPr>
          <w:rFonts w:ascii="Arial" w:cs="Arial" w:eastAsia="Arial" w:hAnsi="Arial"/>
          <w:b/>
          <w:bCs/>
          <w:color w:val="0E7490"/>
          <w:sz w:val="24"/>
          <w:szCs w:val="24"/>
        </w:rPr>
        <w:t xml:space="preserve">23.  Extraordinary General Meeting</w:t>
      </w:r>
    </w:p>
    <w:p>
      <w:pPr>
        <w:pStyle w:val="ListParagraph"/>
        <w:numPr>
          <w:ilvl w:val="0"/>
          <w:numId w:val="16"/>
        </w:numPr>
        <w:spacing w:after="60" w:before="60"/>
      </w:pPr>
      <w:r>
        <w:rPr>
          <w:rFonts w:ascii="Arial" w:cs="Arial" w:eastAsia="Arial" w:hAnsi="Arial"/>
          <w:color w:val="1E293B"/>
          <w:sz w:val="22"/>
          <w:szCs w:val="22"/>
        </w:rPr>
        <w:t xml:space="preserve">An EGM may be called by the Board at any time, or shall be called if the Board receives a written requisition signed by not less than 20% of Voting Members specifying the business to be transacted.</w:t>
      </w:r>
    </w:p>
    <w:p>
      <w:pPr>
        <w:pStyle w:val="ListParagraph"/>
        <w:numPr>
          <w:ilvl w:val="0"/>
          <w:numId w:val="16"/>
        </w:numPr>
        <w:spacing w:after="60" w:before="60"/>
      </w:pPr>
      <w:r>
        <w:rPr>
          <w:rFonts w:ascii="Arial" w:cs="Arial" w:eastAsia="Arial" w:hAnsi="Arial"/>
          <w:color w:val="1E293B"/>
          <w:sz w:val="22"/>
          <w:szCs w:val="22"/>
        </w:rPr>
        <w:t xml:space="preserve">An EGM must be held within 45 days of a valid requisition being received.</w:t>
      </w:r>
    </w:p>
    <w:p>
      <w:pPr>
        <w:pStyle w:val="ListParagraph"/>
        <w:numPr>
          <w:ilvl w:val="0"/>
          <w:numId w:val="16"/>
        </w:numPr>
        <w:spacing w:after="60" w:before="60"/>
      </w:pPr>
      <w:r>
        <w:rPr>
          <w:rFonts w:ascii="Arial" w:cs="Arial" w:eastAsia="Arial" w:hAnsi="Arial"/>
          <w:color w:val="1E293B"/>
          <w:sz w:val="22"/>
          <w:szCs w:val="22"/>
        </w:rPr>
        <w:t xml:space="preserve">Not less than 14 days' written notice shall be given to all Members.</w:t>
      </w:r>
    </w:p>
    <w:p>
      <w:pPr>
        <w:spacing w:after="0" w:before="120"/>
      </w:pPr>
    </w:p>
    <w:p>
      <w:pPr>
        <w:pStyle w:val="Heading2"/>
        <w:spacing w:after="120" w:before="300"/>
      </w:pPr>
      <w:r>
        <w:rPr>
          <w:rFonts w:ascii="Arial" w:cs="Arial" w:eastAsia="Arial" w:hAnsi="Arial"/>
          <w:b/>
          <w:bCs/>
          <w:color w:val="0E7490"/>
          <w:sz w:val="24"/>
          <w:szCs w:val="24"/>
        </w:rPr>
        <w:t xml:space="preserve">24.  Quorum and Voting at General Meetings</w:t>
      </w:r>
    </w:p>
    <w:p>
      <w:pPr>
        <w:pStyle w:val="ListParagraph"/>
        <w:numPr>
          <w:ilvl w:val="0"/>
          <w:numId w:val="17"/>
        </w:numPr>
        <w:spacing w:after="60" w:before="60"/>
      </w:pPr>
      <w:r>
        <w:rPr>
          <w:rFonts w:ascii="Arial" w:cs="Arial" w:eastAsia="Arial" w:hAnsi="Arial"/>
          <w:color w:val="1E293B"/>
          <w:sz w:val="22"/>
          <w:szCs w:val="22"/>
        </w:rPr>
        <w:t xml:space="preserve">The quorum for a General Meeting shall be 10% of Voting Members or ten (10) Voting Members, whichever is the lesser, present in person, by proxy, or electronically.</w:t>
      </w:r>
    </w:p>
    <w:p>
      <w:pPr>
        <w:pStyle w:val="ListParagraph"/>
        <w:numPr>
          <w:ilvl w:val="0"/>
          <w:numId w:val="17"/>
        </w:numPr>
        <w:spacing w:after="60" w:before="60"/>
      </w:pPr>
      <w:r>
        <w:rPr>
          <w:rFonts w:ascii="Arial" w:cs="Arial" w:eastAsia="Arial" w:hAnsi="Arial"/>
          <w:color w:val="1E293B"/>
          <w:sz w:val="22"/>
          <w:szCs w:val="22"/>
        </w:rPr>
        <w:t xml:space="preserve">Each Supporting Member shall have one vote; each Organisational Partner shall have two votes exercised through designated delegates; each Founding Patron shall have two votes through designated delegates.</w:t>
      </w:r>
    </w:p>
    <w:p>
      <w:pPr>
        <w:pStyle w:val="ListParagraph"/>
        <w:numPr>
          <w:ilvl w:val="0"/>
          <w:numId w:val="17"/>
        </w:numPr>
        <w:spacing w:after="60" w:before="60"/>
      </w:pPr>
      <w:r>
        <w:rPr>
          <w:rFonts w:ascii="Arial" w:cs="Arial" w:eastAsia="Arial" w:hAnsi="Arial"/>
          <w:color w:val="1E293B"/>
          <w:sz w:val="22"/>
          <w:szCs w:val="22"/>
        </w:rPr>
        <w:t xml:space="preserve">Voting shall be by show of hands unless a secret ballot is demanded by the Chairperson or by any five Voting Members.</w:t>
      </w:r>
    </w:p>
    <w:p>
      <w:pPr>
        <w:pStyle w:val="ListParagraph"/>
        <w:numPr>
          <w:ilvl w:val="0"/>
          <w:numId w:val="17"/>
        </w:numPr>
        <w:spacing w:after="60" w:before="60"/>
      </w:pPr>
      <w:r>
        <w:rPr>
          <w:rFonts w:ascii="Arial" w:cs="Arial" w:eastAsia="Arial" w:hAnsi="Arial"/>
          <w:color w:val="1E293B"/>
          <w:sz w:val="22"/>
          <w:szCs w:val="22"/>
        </w:rPr>
        <w:t xml:space="preserve">Proxy voting shall be permitted. A Member may appoint another Voting Member as proxy by written instrument lodged with the Secretary not less than 48 hours before the meeting.</w:t>
      </w:r>
    </w:p>
    <w:p>
      <w:pPr>
        <w:pStyle w:val="ListParagraph"/>
        <w:numPr>
          <w:ilvl w:val="0"/>
          <w:numId w:val="17"/>
        </w:numPr>
        <w:spacing w:after="60" w:before="60"/>
      </w:pPr>
      <w:r>
        <w:rPr>
          <w:rFonts w:ascii="Arial" w:cs="Arial" w:eastAsia="Arial" w:hAnsi="Arial"/>
          <w:color w:val="1E293B"/>
          <w:sz w:val="22"/>
          <w:szCs w:val="22"/>
        </w:rPr>
        <w:t xml:space="preserve">Resolutions shall be passed by a simple majority unless a Special Resolution is required under this Constitution.</w:t>
      </w:r>
    </w:p>
    <w:p>
      <w:pPr>
        <w:spacing w:after="0" w:before="120"/>
      </w:pPr>
    </w:p>
    <w:p>
      <w:pPr>
        <w:pStyle w:val="Heading1"/>
        <w:spacing w:after="160" w:before="400"/>
      </w:pPr>
      <w:r>
        <w:rPr>
          <w:rFonts w:ascii="Arial" w:cs="Arial" w:eastAsia="Arial" w:hAnsi="Arial"/>
          <w:b/>
          <w:bCs/>
          <w:color w:val="0D2B4E"/>
          <w:sz w:val="28"/>
          <w:szCs w:val="28"/>
        </w:rPr>
        <w:t xml:space="preserve">PART VI — FINANCIAL MANAGEMENT</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25.  Financial Controls</w:t>
      </w:r>
    </w:p>
    <w:p>
      <w:pPr>
        <w:pStyle w:val="ListParagraph"/>
        <w:numPr>
          <w:ilvl w:val="0"/>
          <w:numId w:val="18"/>
        </w:numPr>
        <w:spacing w:after="60" w:before="60"/>
      </w:pPr>
      <w:r>
        <w:rPr>
          <w:rFonts w:ascii="Arial" w:cs="Arial" w:eastAsia="Arial" w:hAnsi="Arial"/>
          <w:color w:val="1E293B"/>
          <w:sz w:val="22"/>
          <w:szCs w:val="22"/>
        </w:rPr>
        <w:t xml:space="preserve">The Foundation shall maintain proper books of account in accordance with generally accepted accounting principles and the requirements of the Companies Act 2015 (Fiji).</w:t>
      </w:r>
    </w:p>
    <w:p>
      <w:pPr>
        <w:pStyle w:val="ListParagraph"/>
        <w:numPr>
          <w:ilvl w:val="0"/>
          <w:numId w:val="18"/>
        </w:numPr>
        <w:spacing w:after="60" w:before="60"/>
      </w:pPr>
      <w:r>
        <w:rPr>
          <w:rFonts w:ascii="Arial" w:cs="Arial" w:eastAsia="Arial" w:hAnsi="Arial"/>
          <w:color w:val="1E293B"/>
          <w:sz w:val="22"/>
          <w:szCs w:val="22"/>
        </w:rPr>
        <w:t xml:space="preserve">All funds shall be held in bank accounts in the name of the Foundation with a reputable bank licensed in Fiji.</w:t>
      </w:r>
    </w:p>
    <w:p>
      <w:pPr>
        <w:pStyle w:val="ListParagraph"/>
        <w:numPr>
          <w:ilvl w:val="0"/>
          <w:numId w:val="18"/>
        </w:numPr>
        <w:spacing w:after="60" w:before="60"/>
      </w:pPr>
      <w:r>
        <w:rPr>
          <w:rFonts w:ascii="Arial" w:cs="Arial" w:eastAsia="Arial" w:hAnsi="Arial"/>
          <w:color w:val="1E293B"/>
          <w:sz w:val="22"/>
          <w:szCs w:val="22"/>
        </w:rPr>
        <w:t xml:space="preserve">All payments exceeding FJD 5,000 shall require the joint authorisation of any two of: the Chairperson, Treasurer, or Secretary.</w:t>
      </w:r>
    </w:p>
    <w:p>
      <w:pPr>
        <w:pStyle w:val="ListParagraph"/>
        <w:numPr>
          <w:ilvl w:val="0"/>
          <w:numId w:val="18"/>
        </w:numPr>
        <w:spacing w:after="60" w:before="60"/>
      </w:pPr>
      <w:r>
        <w:rPr>
          <w:rFonts w:ascii="Arial" w:cs="Arial" w:eastAsia="Arial" w:hAnsi="Arial"/>
          <w:color w:val="1E293B"/>
          <w:sz w:val="22"/>
          <w:szCs w:val="22"/>
        </w:rPr>
        <w:t xml:space="preserve">The Board shall adopt an annual budget and shall review financial performance against budget at each Board meeting.</w:t>
      </w:r>
    </w:p>
    <w:p>
      <w:pPr>
        <w:pStyle w:val="ListParagraph"/>
        <w:numPr>
          <w:ilvl w:val="0"/>
          <w:numId w:val="18"/>
        </w:numPr>
        <w:spacing w:after="60" w:before="60"/>
      </w:pPr>
      <w:r>
        <w:rPr>
          <w:rFonts w:ascii="Arial" w:cs="Arial" w:eastAsia="Arial" w:hAnsi="Arial"/>
          <w:color w:val="1E293B"/>
          <w:sz w:val="22"/>
          <w:szCs w:val="22"/>
        </w:rPr>
        <w:t xml:space="preserve">The Foundation shall maintain a reserve fund equivalent to not less than three months of average operating expenditure.</w:t>
      </w:r>
    </w:p>
    <w:p>
      <w:pPr>
        <w:spacing w:after="0" w:before="120"/>
      </w:pPr>
    </w:p>
    <w:p>
      <w:pPr>
        <w:pStyle w:val="Heading2"/>
        <w:spacing w:after="120" w:before="300"/>
      </w:pPr>
      <w:r>
        <w:rPr>
          <w:rFonts w:ascii="Arial" w:cs="Arial" w:eastAsia="Arial" w:hAnsi="Arial"/>
          <w:b/>
          <w:bCs/>
          <w:color w:val="0E7490"/>
          <w:sz w:val="24"/>
          <w:szCs w:val="24"/>
        </w:rPr>
        <w:t xml:space="preserve">26.  Independent Audit</w:t>
      </w:r>
    </w:p>
    <w:p>
      <w:pPr>
        <w:pStyle w:val="ListParagraph"/>
        <w:numPr>
          <w:ilvl w:val="0"/>
          <w:numId w:val="19"/>
        </w:numPr>
        <w:spacing w:after="60" w:before="60"/>
      </w:pPr>
      <w:r>
        <w:rPr>
          <w:rFonts w:ascii="Arial" w:cs="Arial" w:eastAsia="Arial" w:hAnsi="Arial"/>
          <w:color w:val="1E293B"/>
          <w:sz w:val="22"/>
          <w:szCs w:val="22"/>
        </w:rPr>
        <w:t xml:space="preserve">The financial statements of the Foundation shall be independently audited each Financial Year by a registered auditor appointed at the AGM.</w:t>
      </w:r>
    </w:p>
    <w:p>
      <w:pPr>
        <w:pStyle w:val="ListParagraph"/>
        <w:numPr>
          <w:ilvl w:val="0"/>
          <w:numId w:val="19"/>
        </w:numPr>
        <w:spacing w:after="60" w:before="60"/>
      </w:pPr>
      <w:r>
        <w:rPr>
          <w:rFonts w:ascii="Arial" w:cs="Arial" w:eastAsia="Arial" w:hAnsi="Arial"/>
          <w:color w:val="1E293B"/>
          <w:sz w:val="22"/>
          <w:szCs w:val="22"/>
        </w:rPr>
        <w:t xml:space="preserve">Audited financial statements shall be made available on the Foundation's website within 30 days of completion of the audit and in any event before the next AGM.</w:t>
      </w:r>
    </w:p>
    <w:p>
      <w:pPr>
        <w:pStyle w:val="ListParagraph"/>
        <w:numPr>
          <w:ilvl w:val="0"/>
          <w:numId w:val="19"/>
        </w:numPr>
        <w:spacing w:after="60" w:before="60"/>
      </w:pPr>
      <w:r>
        <w:rPr>
          <w:rFonts w:ascii="Arial" w:cs="Arial" w:eastAsia="Arial" w:hAnsi="Arial"/>
          <w:color w:val="1E293B"/>
          <w:sz w:val="22"/>
          <w:szCs w:val="22"/>
        </w:rPr>
        <w:t xml:space="preserve">The auditor shall have right of access at all reasonable times to the Foundation's books, accounts, and vouchers.</w:t>
      </w:r>
    </w:p>
    <w:p>
      <w:pPr>
        <w:spacing w:after="0" w:before="120"/>
      </w:pPr>
    </w:p>
    <w:p>
      <w:pPr>
        <w:pStyle w:val="Heading2"/>
        <w:spacing w:after="120" w:before="300"/>
      </w:pPr>
      <w:r>
        <w:rPr>
          <w:rFonts w:ascii="Arial" w:cs="Arial" w:eastAsia="Arial" w:hAnsi="Arial"/>
          <w:b/>
          <w:bCs/>
          <w:color w:val="0E7490"/>
          <w:sz w:val="24"/>
          <w:szCs w:val="24"/>
        </w:rPr>
        <w:t xml:space="preserve">27.  Grants and Restricted Funds</w:t>
      </w:r>
    </w:p>
    <w:p>
      <w:pPr>
        <w:pStyle w:val="ListParagraph"/>
        <w:numPr>
          <w:ilvl w:val="0"/>
          <w:numId w:val="20"/>
        </w:numPr>
        <w:spacing w:after="60" w:before="60"/>
      </w:pPr>
      <w:r>
        <w:rPr>
          <w:rFonts w:ascii="Arial" w:cs="Arial" w:eastAsia="Arial" w:hAnsi="Arial"/>
          <w:color w:val="1E293B"/>
          <w:sz w:val="22"/>
          <w:szCs w:val="22"/>
        </w:rPr>
        <w:t xml:space="preserve">The Foundation shall maintain separate accounting records for each restricted grant or donation where the donor has specified a use or purpose.</w:t>
      </w:r>
    </w:p>
    <w:p>
      <w:pPr>
        <w:pStyle w:val="ListParagraph"/>
        <w:numPr>
          <w:ilvl w:val="0"/>
          <w:numId w:val="20"/>
        </w:numPr>
        <w:spacing w:after="60" w:before="60"/>
      </w:pPr>
      <w:r>
        <w:rPr>
          <w:rFonts w:ascii="Arial" w:cs="Arial" w:eastAsia="Arial" w:hAnsi="Arial"/>
          <w:color w:val="1E293B"/>
          <w:sz w:val="22"/>
          <w:szCs w:val="22"/>
        </w:rPr>
        <w:t xml:space="preserve">Restricted funds shall be applied only for the purposes for which they were received.</w:t>
      </w:r>
    </w:p>
    <w:p>
      <w:pPr>
        <w:pStyle w:val="ListParagraph"/>
        <w:numPr>
          <w:ilvl w:val="0"/>
          <w:numId w:val="20"/>
        </w:numPr>
        <w:spacing w:after="60" w:before="60"/>
      </w:pPr>
      <w:r>
        <w:rPr>
          <w:rFonts w:ascii="Arial" w:cs="Arial" w:eastAsia="Arial" w:hAnsi="Arial"/>
          <w:color w:val="1E293B"/>
          <w:sz w:val="22"/>
          <w:szCs w:val="22"/>
        </w:rPr>
        <w:t xml:space="preserve">A grants register shall be maintained by the Secretary, recording the source, amount, conditions, and expenditure of each grant.</w:t>
      </w:r>
    </w:p>
    <w:p>
      <w:pPr>
        <w:spacing w:after="0" w:before="120"/>
      </w:pPr>
    </w:p>
    <w:p>
      <w:r>
        <w:br w:type="page"/>
      </w:r>
    </w:p>
    <w:p>
      <w:pPr>
        <w:pStyle w:val="Heading1"/>
        <w:spacing w:after="160" w:before="400"/>
      </w:pPr>
      <w:r>
        <w:rPr>
          <w:rFonts w:ascii="Arial" w:cs="Arial" w:eastAsia="Arial" w:hAnsi="Arial"/>
          <w:b/>
          <w:bCs/>
          <w:color w:val="0D2B4E"/>
          <w:sz w:val="28"/>
          <w:szCs w:val="28"/>
        </w:rPr>
        <w:t xml:space="preserve">PART VII — TRANSPARENCY AND ACCOUNTABILITY</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28.  Public Reporting</w:t>
      </w:r>
    </w:p>
    <w:p>
      <w:pPr>
        <w:pStyle w:val="ListParagraph"/>
        <w:numPr>
          <w:ilvl w:val="0"/>
          <w:numId w:val="21"/>
        </w:numPr>
        <w:spacing w:after="60" w:before="60"/>
      </w:pPr>
      <w:r>
        <w:rPr>
          <w:rFonts w:ascii="Arial" w:cs="Arial" w:eastAsia="Arial" w:hAnsi="Arial"/>
          <w:color w:val="1E293B"/>
          <w:sz w:val="22"/>
          <w:szCs w:val="22"/>
        </w:rPr>
        <w:t xml:space="preserve">The Foundation shall publish an Annual Impact Report within 90 days of the end of each Financial Year. The Report shall include: a narrative of activities; environmental outcomes achieved; financial summary; donor acknowledgements (with consent); and Board and executive remuneration disclosures.</w:t>
      </w:r>
    </w:p>
    <w:p>
      <w:pPr>
        <w:pStyle w:val="ListParagraph"/>
        <w:numPr>
          <w:ilvl w:val="0"/>
          <w:numId w:val="21"/>
        </w:numPr>
        <w:spacing w:after="60" w:before="60"/>
      </w:pPr>
      <w:r>
        <w:rPr>
          <w:rFonts w:ascii="Arial" w:cs="Arial" w:eastAsia="Arial" w:hAnsi="Arial"/>
          <w:color w:val="1E293B"/>
          <w:sz w:val="22"/>
          <w:szCs w:val="22"/>
        </w:rPr>
        <w:t xml:space="preserve">Audited financial statements shall be published on the Foundation's website and shall remain publicly accessible for not less than seven years.</w:t>
      </w:r>
    </w:p>
    <w:p>
      <w:pPr>
        <w:pStyle w:val="ListParagraph"/>
        <w:numPr>
          <w:ilvl w:val="0"/>
          <w:numId w:val="21"/>
        </w:numPr>
        <w:spacing w:after="60" w:before="60"/>
      </w:pPr>
      <w:r>
        <w:rPr>
          <w:rFonts w:ascii="Arial" w:cs="Arial" w:eastAsia="Arial" w:hAnsi="Arial"/>
          <w:color w:val="1E293B"/>
          <w:sz w:val="22"/>
          <w:szCs w:val="22"/>
        </w:rPr>
        <w:t xml:space="preserve">The Foundation shall publish a Governance Statement on its website describing the Board's composition, meeting frequency, and key policies.</w:t>
      </w:r>
    </w:p>
    <w:p>
      <w:pPr>
        <w:spacing w:after="0" w:before="120"/>
      </w:pPr>
    </w:p>
    <w:p>
      <w:pPr>
        <w:pStyle w:val="Heading2"/>
        <w:spacing w:after="120" w:before="300"/>
      </w:pPr>
      <w:r>
        <w:rPr>
          <w:rFonts w:ascii="Arial" w:cs="Arial" w:eastAsia="Arial" w:hAnsi="Arial"/>
          <w:b/>
          <w:bCs/>
          <w:color w:val="0E7490"/>
          <w:sz w:val="24"/>
          <w:szCs w:val="24"/>
        </w:rPr>
        <w:t xml:space="preserve">29.  Donor Protection</w:t>
      </w:r>
    </w:p>
    <w:p>
      <w:pPr>
        <w:pStyle w:val="ListParagraph"/>
        <w:numPr>
          <w:ilvl w:val="0"/>
          <w:numId w:val="22"/>
        </w:numPr>
        <w:spacing w:after="60" w:before="60"/>
      </w:pPr>
      <w:r>
        <w:rPr>
          <w:rFonts w:ascii="Arial" w:cs="Arial" w:eastAsia="Arial" w:hAnsi="Arial"/>
          <w:color w:val="1E293B"/>
          <w:sz w:val="22"/>
          <w:szCs w:val="22"/>
        </w:rPr>
        <w:t xml:space="preserve">All donors shall receive a written acknowledgement of their gift within 14 days, confirming the amount, date, and the charitable purpose to which the gift will be applied.</w:t>
      </w:r>
    </w:p>
    <w:p>
      <w:pPr>
        <w:pStyle w:val="ListParagraph"/>
        <w:numPr>
          <w:ilvl w:val="0"/>
          <w:numId w:val="22"/>
        </w:numPr>
        <w:spacing w:after="60" w:before="60"/>
      </w:pPr>
      <w:r>
        <w:rPr>
          <w:rFonts w:ascii="Arial" w:cs="Arial" w:eastAsia="Arial" w:hAnsi="Arial"/>
          <w:color w:val="1E293B"/>
          <w:sz w:val="22"/>
          <w:szCs w:val="22"/>
        </w:rPr>
        <w:t xml:space="preserve">The Foundation shall issue official receipts for all donations in compliance with any applicable tax laws in Fiji and the donor's country of residence.</w:t>
      </w:r>
    </w:p>
    <w:p>
      <w:pPr>
        <w:pStyle w:val="ListParagraph"/>
        <w:numPr>
          <w:ilvl w:val="0"/>
          <w:numId w:val="22"/>
        </w:numPr>
        <w:spacing w:after="60" w:before="60"/>
      </w:pPr>
      <w:r>
        <w:rPr>
          <w:rFonts w:ascii="Arial" w:cs="Arial" w:eastAsia="Arial" w:hAnsi="Arial"/>
          <w:color w:val="1E293B"/>
          <w:sz w:val="22"/>
          <w:szCs w:val="22"/>
        </w:rPr>
        <w:t xml:space="preserve">The Foundation shall not sell, rent, or share donor information with third parties except with the express consent of the donor or where required by law.</w:t>
      </w:r>
    </w:p>
    <w:p>
      <w:pPr>
        <w:spacing w:after="0" w:before="120"/>
      </w:pPr>
    </w:p>
    <w:p>
      <w:pPr>
        <w:pStyle w:val="Heading2"/>
        <w:spacing w:after="120" w:before="300"/>
      </w:pPr>
      <w:r>
        <w:rPr>
          <w:rFonts w:ascii="Arial" w:cs="Arial" w:eastAsia="Arial" w:hAnsi="Arial"/>
          <w:b/>
          <w:bCs/>
          <w:color w:val="0E7490"/>
          <w:sz w:val="24"/>
          <w:szCs w:val="24"/>
        </w:rPr>
        <w:t xml:space="preserve">30.  Policies</w:t>
      </w:r>
    </w:p>
    <w:p>
      <w:pPr>
        <w:spacing w:after="80" w:before="80"/>
        <w:jc w:val="left"/>
      </w:pPr>
      <w:r>
        <w:rPr>
          <w:rFonts w:ascii="Arial" w:cs="Arial" w:eastAsia="Arial" w:hAnsi="Arial"/>
          <w:color w:val="1E293B"/>
          <w:sz w:val="22"/>
          <w:szCs w:val="22"/>
        </w:rPr>
        <w:t xml:space="preserve">The Board shall adopt and maintain the following written policies, which shall be reviewed at least every two years:</w:t>
      </w:r>
    </w:p>
    <w:p>
      <w:pPr>
        <w:pStyle w:val="ListParagraph"/>
        <w:numPr>
          <w:ilvl w:val="0"/>
          <w:numId w:val="23"/>
        </w:numPr>
        <w:spacing w:after="60" w:before="60"/>
      </w:pPr>
      <w:r>
        <w:rPr>
          <w:rFonts w:ascii="Arial" w:cs="Arial" w:eastAsia="Arial" w:hAnsi="Arial"/>
          <w:color w:val="1E293B"/>
          <w:sz w:val="22"/>
          <w:szCs w:val="22"/>
        </w:rPr>
        <w:t xml:space="preserve">Code of Conduct for Directors, Officers, Staff, and Members</w:t>
      </w:r>
    </w:p>
    <w:p>
      <w:pPr>
        <w:pStyle w:val="ListParagraph"/>
        <w:numPr>
          <w:ilvl w:val="0"/>
          <w:numId w:val="23"/>
        </w:numPr>
        <w:spacing w:after="60" w:before="60"/>
      </w:pPr>
      <w:r>
        <w:rPr>
          <w:rFonts w:ascii="Arial" w:cs="Arial" w:eastAsia="Arial" w:hAnsi="Arial"/>
          <w:color w:val="1E293B"/>
          <w:sz w:val="22"/>
          <w:szCs w:val="22"/>
        </w:rPr>
        <w:t xml:space="preserve">Conflict of Interest Policy</w:t>
      </w:r>
    </w:p>
    <w:p>
      <w:pPr>
        <w:pStyle w:val="ListParagraph"/>
        <w:numPr>
          <w:ilvl w:val="0"/>
          <w:numId w:val="23"/>
        </w:numPr>
        <w:spacing w:after="60" w:before="60"/>
      </w:pPr>
      <w:r>
        <w:rPr>
          <w:rFonts w:ascii="Arial" w:cs="Arial" w:eastAsia="Arial" w:hAnsi="Arial"/>
          <w:color w:val="1E293B"/>
          <w:sz w:val="22"/>
          <w:szCs w:val="22"/>
        </w:rPr>
        <w:t xml:space="preserve">Privacy and Data Protection Policy</w:t>
      </w:r>
    </w:p>
    <w:p>
      <w:pPr>
        <w:pStyle w:val="ListParagraph"/>
        <w:numPr>
          <w:ilvl w:val="0"/>
          <w:numId w:val="23"/>
        </w:numPr>
        <w:spacing w:after="60" w:before="60"/>
      </w:pPr>
      <w:r>
        <w:rPr>
          <w:rFonts w:ascii="Arial" w:cs="Arial" w:eastAsia="Arial" w:hAnsi="Arial"/>
          <w:color w:val="1E293B"/>
          <w:sz w:val="22"/>
          <w:szCs w:val="22"/>
        </w:rPr>
        <w:t xml:space="preserve">Financial Management and Procurement Policy</w:t>
      </w:r>
    </w:p>
    <w:p>
      <w:pPr>
        <w:pStyle w:val="ListParagraph"/>
        <w:numPr>
          <w:ilvl w:val="0"/>
          <w:numId w:val="23"/>
        </w:numPr>
        <w:spacing w:after="60" w:before="60"/>
      </w:pPr>
      <w:r>
        <w:rPr>
          <w:rFonts w:ascii="Arial" w:cs="Arial" w:eastAsia="Arial" w:hAnsi="Arial"/>
          <w:color w:val="1E293B"/>
          <w:sz w:val="22"/>
          <w:szCs w:val="22"/>
        </w:rPr>
        <w:t xml:space="preserve">Whistleblower and Protected Disclosure Policy</w:t>
      </w:r>
    </w:p>
    <w:p>
      <w:pPr>
        <w:pStyle w:val="ListParagraph"/>
        <w:numPr>
          <w:ilvl w:val="0"/>
          <w:numId w:val="23"/>
        </w:numPr>
        <w:spacing w:after="60" w:before="60"/>
      </w:pPr>
      <w:r>
        <w:rPr>
          <w:rFonts w:ascii="Arial" w:cs="Arial" w:eastAsia="Arial" w:hAnsi="Arial"/>
          <w:color w:val="1E293B"/>
          <w:sz w:val="22"/>
          <w:szCs w:val="22"/>
        </w:rPr>
        <w:t xml:space="preserve">Environmental and Social Safeguards Policy</w:t>
      </w:r>
    </w:p>
    <w:p>
      <w:pPr>
        <w:pStyle w:val="ListParagraph"/>
        <w:numPr>
          <w:ilvl w:val="0"/>
          <w:numId w:val="23"/>
        </w:numPr>
        <w:spacing w:after="60" w:before="60"/>
      </w:pPr>
      <w:r>
        <w:rPr>
          <w:rFonts w:ascii="Arial" w:cs="Arial" w:eastAsia="Arial" w:hAnsi="Arial"/>
          <w:color w:val="1E293B"/>
          <w:sz w:val="22"/>
          <w:szCs w:val="22"/>
        </w:rPr>
        <w:t xml:space="preserve">Membership Verification and Anti-Gaming Policy</w:t>
      </w:r>
    </w:p>
    <w:p>
      <w:pPr>
        <w:spacing w:after="0" w:before="120"/>
      </w:pPr>
    </w:p>
    <w:p>
      <w:pPr>
        <w:pStyle w:val="Heading1"/>
        <w:spacing w:after="160" w:before="400"/>
      </w:pPr>
      <w:r>
        <w:rPr>
          <w:rFonts w:ascii="Arial" w:cs="Arial" w:eastAsia="Arial" w:hAnsi="Arial"/>
          <w:b/>
          <w:bCs/>
          <w:color w:val="0D2B4E"/>
          <w:sz w:val="28"/>
          <w:szCs w:val="28"/>
        </w:rPr>
        <w:t xml:space="preserve">PART VIII — AMENDMENT AND DISSOLUTION</w:t>
      </w:r>
    </w:p>
    <w:p>
      <w:pPr>
        <w:pBdr>
          <w:bottom w:val="single" w:color="0E7490" w:sz="4" w:space="1"/>
        </w:pBdr>
        <w:spacing w:after="160" w:before="160"/>
      </w:pPr>
    </w:p>
    <w:p>
      <w:pPr>
        <w:pStyle w:val="Heading2"/>
        <w:spacing w:after="120" w:before="300"/>
      </w:pPr>
      <w:r>
        <w:rPr>
          <w:rFonts w:ascii="Arial" w:cs="Arial" w:eastAsia="Arial" w:hAnsi="Arial"/>
          <w:b/>
          <w:bCs/>
          <w:color w:val="0E7490"/>
          <w:sz w:val="24"/>
          <w:szCs w:val="24"/>
        </w:rPr>
        <w:t xml:space="preserve">31.  Amendment of Constitution</w:t>
      </w:r>
    </w:p>
    <w:p>
      <w:pPr>
        <w:pStyle w:val="ListParagraph"/>
        <w:numPr>
          <w:ilvl w:val="0"/>
          <w:numId w:val="24"/>
        </w:numPr>
        <w:spacing w:after="60" w:before="60"/>
      </w:pPr>
      <w:r>
        <w:rPr>
          <w:rFonts w:ascii="Arial" w:cs="Arial" w:eastAsia="Arial" w:hAnsi="Arial"/>
          <w:color w:val="1E293B"/>
          <w:sz w:val="22"/>
          <w:szCs w:val="22"/>
        </w:rPr>
        <w:t xml:space="preserve">This Constitution may be amended only by Special Resolution passed at a General Meeting, of which not less than 28 days' written notice specifying the proposed amendment in full has been given to all Members.</w:t>
      </w:r>
    </w:p>
    <w:p>
      <w:pPr>
        <w:pStyle w:val="ListParagraph"/>
        <w:numPr>
          <w:ilvl w:val="0"/>
          <w:numId w:val="24"/>
        </w:numPr>
        <w:spacing w:after="60" w:before="60"/>
      </w:pPr>
      <w:r>
        <w:rPr>
          <w:rFonts w:ascii="Arial" w:cs="Arial" w:eastAsia="Arial" w:hAnsi="Arial"/>
          <w:color w:val="1E293B"/>
          <w:sz w:val="22"/>
          <w:szCs w:val="22"/>
        </w:rPr>
        <w:t xml:space="preserve">Any amendment to clauses 7 (Not-for-Profit), 27 (Restricted Funds), 28 (Public Reporting), or this clause 31 shall require the additional approval of the Registrar of Companies.</w:t>
      </w:r>
    </w:p>
    <w:p>
      <w:pPr>
        <w:spacing w:after="0" w:before="120"/>
      </w:pPr>
    </w:p>
    <w:p>
      <w:pPr>
        <w:pStyle w:val="Heading2"/>
        <w:spacing w:after="120" w:before="300"/>
      </w:pPr>
      <w:r>
        <w:rPr>
          <w:rFonts w:ascii="Arial" w:cs="Arial" w:eastAsia="Arial" w:hAnsi="Arial"/>
          <w:b/>
          <w:bCs/>
          <w:color w:val="0E7490"/>
          <w:sz w:val="24"/>
          <w:szCs w:val="24"/>
        </w:rPr>
        <w:t xml:space="preserve">32.  Dissolution</w:t>
      </w:r>
    </w:p>
    <w:p>
      <w:pPr>
        <w:pStyle w:val="ListParagraph"/>
        <w:numPr>
          <w:ilvl w:val="0"/>
          <w:numId w:val="25"/>
        </w:numPr>
        <w:spacing w:after="60" w:before="60"/>
      </w:pPr>
      <w:r>
        <w:rPr>
          <w:rFonts w:ascii="Arial" w:cs="Arial" w:eastAsia="Arial" w:hAnsi="Arial"/>
          <w:color w:val="1E293B"/>
          <w:sz w:val="22"/>
          <w:szCs w:val="22"/>
        </w:rPr>
        <w:t xml:space="preserve">The Foundation may be wound up voluntarily by Special Resolution of Voting Members.</w:t>
      </w:r>
    </w:p>
    <w:p>
      <w:pPr>
        <w:pStyle w:val="ListParagraph"/>
        <w:numPr>
          <w:ilvl w:val="0"/>
          <w:numId w:val="25"/>
        </w:numPr>
        <w:spacing w:after="60" w:before="60"/>
      </w:pPr>
      <w:r>
        <w:rPr>
          <w:rFonts w:ascii="Arial" w:cs="Arial" w:eastAsia="Arial" w:hAnsi="Arial"/>
          <w:color w:val="1E293B"/>
          <w:sz w:val="22"/>
          <w:szCs w:val="22"/>
        </w:rPr>
        <w:t xml:space="preserve">On dissolution, after payment of all debts and liabilities, any remaining assets shall be transferred to one or more organisations having similar charitable objects and registered as a charity in Fiji, as determined by the Members by Special Resolution. No assets shall be distributed to Members.</w:t>
      </w:r>
    </w:p>
    <w:p>
      <w:pPr>
        <w:spacing w:after="0" w:before="120"/>
      </w:pPr>
    </w:p>
    <w:p>
      <w:r>
        <w:br w:type="page"/>
      </w:r>
    </w:p>
    <w:p>
      <w:pPr>
        <w:pStyle w:val="Heading1"/>
        <w:spacing w:after="160" w:before="400"/>
      </w:pPr>
      <w:r>
        <w:rPr>
          <w:rFonts w:ascii="Arial" w:cs="Arial" w:eastAsia="Arial" w:hAnsi="Arial"/>
          <w:b/>
          <w:bCs/>
          <w:color w:val="0D2B4E"/>
          <w:sz w:val="28"/>
          <w:szCs w:val="28"/>
        </w:rPr>
        <w:t xml:space="preserve">SCHEDULE 1 — MEMBERSHIP SCHEDULE</w:t>
      </w:r>
    </w:p>
    <w:p>
      <w:pPr>
        <w:pBdr>
          <w:bottom w:val="single" w:color="0E7490" w:sz="4" w:space="1"/>
        </w:pBdr>
        <w:spacing w:after="160" w:before="160"/>
      </w:pPr>
    </w:p>
    <w:p>
      <w:pPr>
        <w:spacing w:after="80" w:before="80"/>
        <w:jc w:val="left"/>
      </w:pPr>
      <w:r>
        <w:rPr>
          <w:rFonts w:ascii="Arial" w:cs="Arial" w:eastAsia="Arial" w:hAnsi="Arial"/>
          <w:color w:val="1E293B"/>
          <w:sz w:val="22"/>
          <w:szCs w:val="22"/>
        </w:rPr>
        <w:t xml:space="preserve">This Schedule forms part of the Constitution. The subscription fees and entitlements below shall apply from the date of adoption and may be amended by the Board by resolution with 28 days' notice to all Members.</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1600"/>
        <w:gridCol w:w="2560"/>
        <w:gridCol w:w="2200"/>
      </w:tblGrid>
      <w:tr>
        <w:tc>
          <w:tcPr>
            <w:tcW w:type="dxa" w:w="18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Class</w:t>
            </w:r>
          </w:p>
        </w:tc>
        <w:tc>
          <w:tcPr>
            <w:tcW w:type="dxa" w:w="12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Annual Fee</w:t>
            </w:r>
          </w:p>
        </w:tc>
        <w:tc>
          <w:tcPr>
            <w:tcW w:type="dxa" w:w="16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Voting</w:t>
            </w:r>
          </w:p>
        </w:tc>
        <w:tc>
          <w:tcPr>
            <w:tcW w:type="dxa" w:w="256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Key Benefits</w:t>
            </w:r>
          </w:p>
        </w:tc>
        <w:tc>
          <w:tcPr>
            <w:tcW w:type="dxa" w:w="2200"/>
            <w:tcBorders>
              <w:top w:val="single" w:color="D1DCE8" w:sz="1"/>
              <w:left w:val="single" w:color="D1DCE8" w:sz="1"/>
              <w:bottom w:val="single" w:color="D1DCE8" w:sz="1"/>
              <w:right w:val="single" w:color="D1DCE8" w:sz="1"/>
            </w:tcBorders>
            <w:shd w:fill="0D2B4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Verification</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Community</w:t>
            </w:r>
          </w:p>
        </w:tc>
        <w:tc>
          <w:tcPr>
            <w:tcW w:type="dxa" w:w="12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Free</w:t>
            </w:r>
          </w:p>
        </w:tc>
        <w:tc>
          <w:tcPr>
            <w:tcW w:type="dxa" w:w="16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None</w:t>
            </w:r>
          </w:p>
        </w:tc>
        <w:tc>
          <w:tcPr>
            <w:tcW w:type="dxa" w:w="256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Newsletter, public events, updates</w:t>
            </w:r>
          </w:p>
        </w:tc>
        <w:tc>
          <w:tcPr>
            <w:tcW w:type="dxa" w:w="220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Email + CAPTCHA</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Supporting</w:t>
            </w:r>
          </w:p>
        </w:tc>
        <w:tc>
          <w:tcPr>
            <w:tcW w:type="dxa" w:w="12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FJD 50</w:t>
            </w:r>
          </w:p>
        </w:tc>
        <w:tc>
          <w:tcPr>
            <w:tcW w:type="dxa" w:w="16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1 vote</w:t>
            </w:r>
          </w:p>
        </w:tc>
        <w:tc>
          <w:tcPr>
            <w:tcW w:type="dxa" w:w="256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AGM attendance, voting, speak at meetings</w:t>
            </w:r>
          </w:p>
        </w:tc>
        <w:tc>
          <w:tcPr>
            <w:tcW w:type="dxa" w:w="220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Email + SMS OTP + ID hash</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Organisational Partner</w:t>
            </w:r>
          </w:p>
        </w:tc>
        <w:tc>
          <w:tcPr>
            <w:tcW w:type="dxa" w:w="12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FJD 500</w:t>
            </w:r>
          </w:p>
        </w:tc>
        <w:tc>
          <w:tcPr>
            <w:tcW w:type="dxa" w:w="16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2 delegates</w:t>
            </w:r>
          </w:p>
        </w:tc>
        <w:tc>
          <w:tcPr>
            <w:tcW w:type="dxa" w:w="256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Website logo, joint project eligibility, 2 votes</w:t>
            </w:r>
          </w:p>
        </w:tc>
        <w:tc>
          <w:tcPr>
            <w:tcW w:type="dxa" w:w="220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Fiji company reg. + authorised rep. letter</w:t>
            </w:r>
          </w:p>
        </w:tc>
      </w:tr>
      <w:tr>
        <w:tc>
          <w:tcPr>
            <w:tcW w:type="dxa" w:w="1800"/>
            <w:tcBorders>
              <w:top w:val="single" w:color="D1DCE8" w:sz="1"/>
              <w:left w:val="single" w:color="D1DCE8" w:sz="1"/>
              <w:bottom w:val="single" w:color="D1DCE8" w:sz="1"/>
              <w:right w:val="single" w:color="D1DCE8" w:sz="1"/>
            </w:tcBorders>
            <w:shd w:fill="EBF5FB" w:val="clear"/>
            <w:tcMar>
              <w:top w:type="dxa" w:w="80"/>
              <w:left w:type="dxa" w:w="120"/>
              <w:bottom w:type="dxa" w:w="80"/>
              <w:right w:type="dxa" w:w="120"/>
            </w:tcMar>
          </w:tcPr>
          <w:p>
            <w:r>
              <w:rPr>
                <w:rFonts w:ascii="Arial" w:cs="Arial" w:eastAsia="Arial" w:hAnsi="Arial"/>
                <w:b/>
                <w:bCs/>
                <w:color w:val="0D2B4E"/>
                <w:sz w:val="20"/>
                <w:szCs w:val="20"/>
              </w:rPr>
              <w:t xml:space="preserve">Founding Patron</w:t>
            </w:r>
          </w:p>
        </w:tc>
        <w:tc>
          <w:tcPr>
            <w:tcW w:type="dxa" w:w="12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FJD 2,500+</w:t>
            </w:r>
          </w:p>
        </w:tc>
        <w:tc>
          <w:tcPr>
            <w:tcW w:type="dxa" w:w="1600"/>
            <w:tcBorders>
              <w:top w:val="single" w:color="D1DCE8" w:sz="1"/>
              <w:left w:val="single" w:color="D1DCE8" w:sz="1"/>
              <w:bottom w:val="single" w:color="D1DCE8" w:sz="1"/>
              <w:right w:val="single" w:color="D1DCE8" w:sz="1"/>
            </w:tcBorders>
            <w:tcMar>
              <w:top w:type="dxa" w:w="80"/>
              <w:left w:type="dxa" w:w="120"/>
              <w:bottom w:type="dxa" w:w="80"/>
              <w:right w:type="dxa" w:w="120"/>
            </w:tcMar>
          </w:tcPr>
          <w:p>
            <w:pPr>
              <w:jc w:val="center"/>
            </w:pPr>
            <w:r>
              <w:rPr>
                <w:rFonts w:ascii="Arial" w:cs="Arial" w:eastAsia="Arial" w:hAnsi="Arial"/>
                <w:sz w:val="20"/>
                <w:szCs w:val="20"/>
              </w:rPr>
              <w:t xml:space="preserve">2 votes</w:t>
            </w:r>
          </w:p>
        </w:tc>
        <w:tc>
          <w:tcPr>
            <w:tcW w:type="dxa" w:w="256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Donor wall, annual impact report, advisory access</w:t>
            </w:r>
          </w:p>
        </w:tc>
        <w:tc>
          <w:tcPr>
            <w:tcW w:type="dxa" w:w="2200"/>
            <w:tcBorders>
              <w:top w:val="single" w:color="D1DCE8" w:sz="1"/>
              <w:left w:val="single" w:color="D1DCE8" w:sz="1"/>
              <w:bottom w:val="single" w:color="D1DCE8" w:sz="1"/>
              <w:right w:val="single" w:color="D1DCE8" w:sz="1"/>
            </w:tcBorders>
            <w:tcMar>
              <w:top w:type="dxa" w:w="80"/>
              <w:left w:type="dxa" w:w="120"/>
              <w:bottom w:type="dxa" w:w="80"/>
              <w:right w:type="dxa" w:w="120"/>
            </w:tcMar>
          </w:tcPr>
          <w:p>
            <w:r>
              <w:rPr>
                <w:rFonts w:ascii="Arial" w:cs="Arial" w:eastAsia="Arial" w:hAnsi="Arial"/>
                <w:sz w:val="20"/>
                <w:szCs w:val="20"/>
              </w:rPr>
              <w:t xml:space="preserve">Full AML/KYC + MOU + Board approval</w:t>
            </w:r>
          </w:p>
        </w:tc>
      </w:tr>
    </w:tbl>
    <w:p>
      <w:pPr>
        <w:spacing w:after="0" w:before="200"/>
      </w:pPr>
    </w:p>
    <w:p>
      <w:r>
        <w:br w:type="page"/>
      </w:r>
    </w:p>
    <w:p>
      <w:pPr>
        <w:pStyle w:val="Heading1"/>
        <w:spacing w:after="160" w:before="400"/>
      </w:pPr>
      <w:r>
        <w:rPr>
          <w:rFonts w:ascii="Arial" w:cs="Arial" w:eastAsia="Arial" w:hAnsi="Arial"/>
          <w:b/>
          <w:bCs/>
          <w:color w:val="0D2B4E"/>
          <w:sz w:val="28"/>
          <w:szCs w:val="28"/>
        </w:rPr>
        <w:t xml:space="preserve">EXECUTION</w:t>
      </w:r>
    </w:p>
    <w:p>
      <w:pPr>
        <w:pBdr>
          <w:bottom w:val="single" w:color="0E7490" w:sz="4" w:space="1"/>
        </w:pBdr>
        <w:spacing w:after="160" w:before="160"/>
      </w:pPr>
    </w:p>
    <w:p>
      <w:pPr>
        <w:spacing w:after="80" w:before="80"/>
        <w:jc w:val="left"/>
      </w:pPr>
      <w:r>
        <w:rPr>
          <w:rFonts w:ascii="Arial" w:cs="Arial" w:eastAsia="Arial" w:hAnsi="Arial"/>
          <w:color w:val="1E293B"/>
          <w:sz w:val="22"/>
          <w:szCs w:val="22"/>
        </w:rPr>
        <w:t xml:space="preserve">This Constitution was adopted by the founding members of the Suva Harbour Foundation on the date set out below.</w:t>
      </w:r>
    </w:p>
    <w:p>
      <w:pPr>
        <w:spacing w:after="0" w:before="300"/>
      </w:pPr>
    </w:p>
    <w:p>
      <w:pPr>
        <w:pBdr>
          <w:bottom w:val="single" w:color="D1DCE8" w:sz="4" w:space="2"/>
        </w:pBdr>
        <w:spacing w:after="0" w:before="200"/>
      </w:pPr>
      <w:r>
        <w:rPr>
          <w:rFonts w:ascii="Arial" w:cs="Arial" w:eastAsia="Arial" w:hAnsi="Arial"/>
          <w:sz w:val="22"/>
          <w:szCs w:val="22"/>
        </w:rPr>
        <w:t xml:space="preserve">        </w:t>
      </w:r>
    </w:p>
    <w:p>
      <w:pPr>
        <w:spacing w:after="160" w:before="60"/>
      </w:pPr>
      <w:r>
        <w:rPr>
          <w:rFonts w:ascii="Arial" w:cs="Arial" w:eastAsia="Arial" w:hAnsi="Arial"/>
          <w:color w:val="64748B"/>
          <w:sz w:val="20"/>
          <w:szCs w:val="20"/>
        </w:rPr>
        <w:t xml:space="preserve">Chairperson  |  Full Name: _________________________  |  Date: ______________</w:t>
      </w:r>
    </w:p>
    <w:p>
      <w:pPr>
        <w:pBdr>
          <w:bottom w:val="single" w:color="D1DCE8" w:sz="4" w:space="2"/>
        </w:pBdr>
        <w:spacing w:after="0" w:before="200"/>
      </w:pPr>
      <w:r>
        <w:rPr>
          <w:rFonts w:ascii="Arial" w:cs="Arial" w:eastAsia="Arial" w:hAnsi="Arial"/>
          <w:sz w:val="22"/>
          <w:szCs w:val="22"/>
        </w:rPr>
        <w:t xml:space="preserve">        </w:t>
      </w:r>
    </w:p>
    <w:p>
      <w:pPr>
        <w:spacing w:after="160" w:before="60"/>
      </w:pPr>
      <w:r>
        <w:rPr>
          <w:rFonts w:ascii="Arial" w:cs="Arial" w:eastAsia="Arial" w:hAnsi="Arial"/>
          <w:color w:val="64748B"/>
          <w:sz w:val="20"/>
          <w:szCs w:val="20"/>
        </w:rPr>
        <w:t xml:space="preserve">Deputy Chairperson  |  Full Name: _________________________  |  Date: ______________</w:t>
      </w:r>
    </w:p>
    <w:p>
      <w:pPr>
        <w:pBdr>
          <w:bottom w:val="single" w:color="D1DCE8" w:sz="4" w:space="2"/>
        </w:pBdr>
        <w:spacing w:after="0" w:before="200"/>
      </w:pPr>
      <w:r>
        <w:rPr>
          <w:rFonts w:ascii="Arial" w:cs="Arial" w:eastAsia="Arial" w:hAnsi="Arial"/>
          <w:sz w:val="22"/>
          <w:szCs w:val="22"/>
        </w:rPr>
        <w:t xml:space="preserve">        </w:t>
      </w:r>
    </w:p>
    <w:p>
      <w:pPr>
        <w:spacing w:after="160" w:before="60"/>
      </w:pPr>
      <w:r>
        <w:rPr>
          <w:rFonts w:ascii="Arial" w:cs="Arial" w:eastAsia="Arial" w:hAnsi="Arial"/>
          <w:color w:val="64748B"/>
          <w:sz w:val="20"/>
          <w:szCs w:val="20"/>
        </w:rPr>
        <w:t xml:space="preserve">Treasurer  |  Full Name: _________________________  |  Date: ______________</w:t>
      </w:r>
    </w:p>
    <w:p>
      <w:pPr>
        <w:pBdr>
          <w:bottom w:val="single" w:color="D1DCE8" w:sz="4" w:space="2"/>
        </w:pBdr>
        <w:spacing w:after="0" w:before="200"/>
      </w:pPr>
      <w:r>
        <w:rPr>
          <w:rFonts w:ascii="Arial" w:cs="Arial" w:eastAsia="Arial" w:hAnsi="Arial"/>
          <w:sz w:val="22"/>
          <w:szCs w:val="22"/>
        </w:rPr>
        <w:t xml:space="preserve">        </w:t>
      </w:r>
    </w:p>
    <w:p>
      <w:pPr>
        <w:spacing w:after="160" w:before="60"/>
      </w:pPr>
      <w:r>
        <w:rPr>
          <w:rFonts w:ascii="Arial" w:cs="Arial" w:eastAsia="Arial" w:hAnsi="Arial"/>
          <w:color w:val="64748B"/>
          <w:sz w:val="20"/>
          <w:szCs w:val="20"/>
        </w:rPr>
        <w:t xml:space="preserve">Secretary  |  Full Name: _________________________  |  Date: ______________</w:t>
      </w:r>
    </w:p>
    <w:p>
      <w:pPr>
        <w:spacing w:after="0" w:before="200"/>
      </w:pPr>
    </w:p>
    <w:p>
      <w:pPr>
        <w:spacing w:after="80" w:before="80"/>
        <w:jc w:val="left"/>
      </w:pPr>
      <w:r>
        <w:rPr>
          <w:rFonts w:ascii="Arial" w:cs="Arial" w:eastAsia="Arial" w:hAnsi="Arial"/>
          <w:b/>
          <w:bCs/>
          <w:color w:val="1E293B"/>
          <w:sz w:val="22"/>
          <w:szCs w:val="22"/>
        </w:rPr>
        <w:t xml:space="preserve">Witnessed by:</w:t>
      </w:r>
    </w:p>
    <w:p>
      <w:pPr>
        <w:spacing w:after="0" w:before="120"/>
      </w:pPr>
    </w:p>
    <w:p>
      <w:pPr>
        <w:pBdr>
          <w:bottom w:val="single" w:color="D1DCE8" w:sz="4" w:space="2"/>
        </w:pBdr>
        <w:spacing w:after="0" w:before="200"/>
      </w:pPr>
      <w:r>
        <w:rPr>
          <w:rFonts w:ascii="Arial" w:cs="Arial" w:eastAsia="Arial" w:hAnsi="Arial"/>
          <w:sz w:val="22"/>
          <w:szCs w:val="22"/>
        </w:rPr>
        <w:t xml:space="preserve">        </w:t>
      </w:r>
    </w:p>
    <w:p>
      <w:pPr>
        <w:spacing w:after="0" w:before="60"/>
      </w:pPr>
      <w:r>
        <w:rPr>
          <w:rFonts w:ascii="Arial" w:cs="Arial" w:eastAsia="Arial" w:hAnsi="Arial"/>
          <w:color w:val="64748B"/>
          <w:sz w:val="20"/>
          <w:szCs w:val="20"/>
        </w:rPr>
        <w:t xml:space="preserve">Witness Name: _________________________  |  Occupation: ________________  |  Date: ______________</w:t>
      </w:r>
    </w:p>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CE8" w:sz="4" w:space="4"/>
      </w:pBdr>
      <w:tabs>
        <w:tab w:val="right" w:pos="9026"/>
      </w:tabs>
      <w:spacing w:after="0" w:before="120"/>
    </w:pPr>
    <w:r>
      <w:rPr>
        <w:rFonts w:ascii="Arial" w:cs="Arial" w:eastAsia="Arial" w:hAnsi="Arial"/>
        <w:color w:val="94A3B8"/>
        <w:sz w:val="16"/>
        <w:szCs w:val="16"/>
      </w:rPr>
      <w:t xml:space="preserve">Version 1.0  |  April 2026  |  Confidential governance document</w:t>
    </w:r>
    <w:r>
      <w:rPr>
        <w:rFonts w:ascii="Arial" w:cs="Arial" w:eastAsia="Arial" w:hAnsi="Arial"/>
        <w:sz w:val="16"/>
        <w:szCs w:val="16"/>
      </w:rPr>
      <w:t xml:space="preserve">	</w:t>
    </w:r>
    <w:r>
      <w:rPr>
        <w:rFonts w:ascii="Arial" w:cs="Arial" w:eastAsia="Arial" w:hAnsi="Arial"/>
        <w:color w:val="94A3B8"/>
        <w:sz w:val="16"/>
        <w:szCs w:val="16"/>
      </w:rPr>
      <w:t xml:space="preserve">Page </w:t>
    </w:r>
    <w:r>
      <w:rPr>
        <w:rFonts w:ascii="Arial" w:cs="Arial" w:eastAsia="Arial" w:hAnsi="Arial"/>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E7490" w:sz="4" w:space="4"/>
      </w:pBdr>
      <w:tabs>
        <w:tab w:val="right" w:pos="9026"/>
      </w:tabs>
      <w:spacing w:after="120" w:before="0"/>
    </w:pPr>
    <w:r>
      <w:rPr>
        <w:rFonts w:ascii="Arial" w:cs="Arial" w:eastAsia="Arial" w:hAnsi="Arial"/>
        <w:color w:val="64748B"/>
        <w:sz w:val="16"/>
        <w:szCs w:val="16"/>
      </w:rPr>
      <w:t xml:space="preserve">SUVA HARBOUR FOUNDATION  |  INCORPORATED CONSTITUTION</w:t>
    </w:r>
    <w:r>
      <w:rPr>
        <w:rFonts w:ascii="Arial" w:cs="Arial" w:eastAsia="Arial" w:hAnsi="Arial"/>
        <w:sz w:val="16"/>
        <w:szCs w:val="16"/>
      </w:rPr>
      <w:t xml:space="preserve">	</w:t>
    </w:r>
    <w:r>
      <w:rPr>
        <w:rFonts w:ascii="Arial" w:cs="Arial" w:eastAsia="Arial" w:hAnsi="Arial"/>
        <w:color w:val="0E7490"/>
        <w:sz w:val="16"/>
        <w:szCs w:val="16"/>
      </w:rPr>
      <w:t xml:space="preserve">suvaharbour.org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 w15:restartNumberingAfterBreak="0">
    <w:multiLevelType w:val="hybridMultilevel"/>
    <w:lvl w:ilvl="0" w15:tentative="1">
      <w:start w:val="1"/>
      <w:numFmt w:val="decimal"/>
      <w:lvlText w:val="2.%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 w15:restartNumberingAfterBreak="0">
    <w:multiLevelType w:val="hybridMultilevel"/>
    <w:lvl w:ilvl="0" w15:tentative="1">
      <w:start w:val="1"/>
      <w:numFmt w:val="decimal"/>
      <w:lvlText w:val="3.%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8" w15:restartNumberingAfterBreak="0">
    <w:multiLevelType w:val="hybridMultilevel"/>
    <w:lvl w:ilvl="0" w15:tentative="1">
      <w:start w:val="1"/>
      <w:numFmt w:val="decimal"/>
      <w:lvlText w:val="4.%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10" w15:restartNumberingAfterBreak="0">
    <w:multiLevelType w:val="hybridMultilevel"/>
    <w:lvl w:ilvl="0" w15:tentative="1">
      <w:start w:val="1"/>
      <w:numFmt w:val="decimal"/>
      <w:lvlText w:val="5.%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1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12" w15:restartNumberingAfterBreak="0">
    <w:multiLevelType w:val="hybridMultilevel"/>
    <w:lvl w:ilvl="0" w15:tentative="1">
      <w:start w:val="1"/>
      <w:numFmt w:val="decimal"/>
      <w:lvlText w:val="6.%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1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14" w15:restartNumberingAfterBreak="0">
    <w:multiLevelType w:val="hybridMultilevel"/>
    <w:lvl w:ilvl="0" w15:tentative="1">
      <w:start w:val="1"/>
      <w:numFmt w:val="decimal"/>
      <w:lvlText w:val="7.%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1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16" w15:restartNumberingAfterBreak="0">
    <w:multiLevelType w:val="hybridMultilevel"/>
    <w:lvl w:ilvl="0" w15:tentative="1">
      <w:start w:val="1"/>
      <w:numFmt w:val="decimal"/>
      <w:lvlText w:val="8.%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1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18" w15:restartNumberingAfterBreak="0">
    <w:multiLevelType w:val="hybridMultilevel"/>
    <w:lvl w:ilvl="0" w15:tentative="1">
      <w:start w:val="1"/>
      <w:numFmt w:val="decimal"/>
      <w:lvlText w:val="9.%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1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20" w15:restartNumberingAfterBreak="0">
    <w:multiLevelType w:val="hybridMultilevel"/>
    <w:lvl w:ilvl="0" w15:tentative="1">
      <w:start w:val="1"/>
      <w:numFmt w:val="decimal"/>
      <w:lvlText w:val="10.%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2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22" w15:restartNumberingAfterBreak="0">
    <w:multiLevelType w:val="hybridMultilevel"/>
    <w:lvl w:ilvl="0" w15:tentative="1">
      <w:start w:val="1"/>
      <w:numFmt w:val="decimal"/>
      <w:lvlText w:val="11.%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2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24" w15:restartNumberingAfterBreak="0">
    <w:multiLevelType w:val="hybridMultilevel"/>
    <w:lvl w:ilvl="0" w15:tentative="1">
      <w:start w:val="1"/>
      <w:numFmt w:val="decimal"/>
      <w:lvlText w:val="12.%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2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26" w15:restartNumberingAfterBreak="0">
    <w:multiLevelType w:val="hybridMultilevel"/>
    <w:lvl w:ilvl="0" w15:tentative="1">
      <w:start w:val="1"/>
      <w:numFmt w:val="decimal"/>
      <w:lvlText w:val="13.%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2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28" w15:restartNumberingAfterBreak="0">
    <w:multiLevelType w:val="hybridMultilevel"/>
    <w:lvl w:ilvl="0" w15:tentative="1">
      <w:start w:val="1"/>
      <w:numFmt w:val="decimal"/>
      <w:lvlText w:val="14.%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2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30" w15:restartNumberingAfterBreak="0">
    <w:multiLevelType w:val="hybridMultilevel"/>
    <w:lvl w:ilvl="0" w15:tentative="1">
      <w:start w:val="1"/>
      <w:numFmt w:val="decimal"/>
      <w:lvlText w:val="15.%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32" w15:restartNumberingAfterBreak="0">
    <w:multiLevelType w:val="hybridMultilevel"/>
    <w:lvl w:ilvl="0" w15:tentative="1">
      <w:start w:val="1"/>
      <w:numFmt w:val="decimal"/>
      <w:lvlText w:val="16.%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34" w15:restartNumberingAfterBreak="0">
    <w:multiLevelType w:val="hybridMultilevel"/>
    <w:lvl w:ilvl="0" w15:tentative="1">
      <w:start w:val="1"/>
      <w:numFmt w:val="decimal"/>
      <w:lvlText w:val="17.%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36" w15:restartNumberingAfterBreak="0">
    <w:multiLevelType w:val="hybridMultilevel"/>
    <w:lvl w:ilvl="0" w15:tentative="1">
      <w:start w:val="1"/>
      <w:numFmt w:val="decimal"/>
      <w:lvlText w:val="18.%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38" w15:restartNumberingAfterBreak="0">
    <w:multiLevelType w:val="hybridMultilevel"/>
    <w:lvl w:ilvl="0" w15:tentative="1">
      <w:start w:val="1"/>
      <w:numFmt w:val="decimal"/>
      <w:lvlText w:val="19.%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3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0" w15:restartNumberingAfterBreak="0">
    <w:multiLevelType w:val="hybridMultilevel"/>
    <w:lvl w:ilvl="0" w15:tentative="1">
      <w:start w:val="1"/>
      <w:numFmt w:val="decimal"/>
      <w:lvlText w:val="20.%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4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2" w15:restartNumberingAfterBreak="0">
    <w:multiLevelType w:val="hybridMultilevel"/>
    <w:lvl w:ilvl="0" w15:tentative="1">
      <w:start w:val="1"/>
      <w:numFmt w:val="decimal"/>
      <w:lvlText w:val="21.%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4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4" w15:restartNumberingAfterBreak="0">
    <w:multiLevelType w:val="hybridMultilevel"/>
    <w:lvl w:ilvl="0" w15:tentative="1">
      <w:start w:val="1"/>
      <w:numFmt w:val="decimal"/>
      <w:lvlText w:val="22.%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4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6" w15:restartNumberingAfterBreak="0">
    <w:multiLevelType w:val="hybridMultilevel"/>
    <w:lvl w:ilvl="0" w15:tentative="1">
      <w:start w:val="1"/>
      <w:numFmt w:val="decimal"/>
      <w:lvlText w:val="23.%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4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48" w15:restartNumberingAfterBreak="0">
    <w:multiLevelType w:val="hybridMultilevel"/>
    <w:lvl w:ilvl="0" w15:tentative="1">
      <w:start w:val="1"/>
      <w:numFmt w:val="decimal"/>
      <w:lvlText w:val="24.%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4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50" w15:restartNumberingAfterBreak="0">
    <w:multiLevelType w:val="hybridMultilevel"/>
    <w:lvl w:ilvl="0" w15:tentative="1">
      <w:start w:val="1"/>
      <w:numFmt w:val="decimal"/>
      <w:lvlText w:val="25.%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52" w15:restartNumberingAfterBreak="0">
    <w:multiLevelType w:val="hybridMultilevel"/>
    <w:lvl w:ilvl="0" w15:tentative="1">
      <w:start w:val="1"/>
      <w:numFmt w:val="decimal"/>
      <w:lvlText w:val="26.%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54" w15:restartNumberingAfterBreak="0">
    <w:multiLevelType w:val="hybridMultilevel"/>
    <w:lvl w:ilvl="0" w15:tentative="1">
      <w:start w:val="1"/>
      <w:numFmt w:val="decimal"/>
      <w:lvlText w:val="27.%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56" w15:restartNumberingAfterBreak="0">
    <w:multiLevelType w:val="hybridMultilevel"/>
    <w:lvl w:ilvl="0" w15:tentative="1">
      <w:start w:val="1"/>
      <w:numFmt w:val="decimal"/>
      <w:lvlText w:val="28.%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58" w15:restartNumberingAfterBreak="0">
    <w:multiLevelType w:val="hybridMultilevel"/>
    <w:lvl w:ilvl="0" w15:tentative="1">
      <w:start w:val="1"/>
      <w:numFmt w:val="decimal"/>
      <w:lvlText w:val="29.%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5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0" w15:restartNumberingAfterBreak="0">
    <w:multiLevelType w:val="hybridMultilevel"/>
    <w:lvl w:ilvl="0" w15:tentative="1">
      <w:start w:val="1"/>
      <w:numFmt w:val="decimal"/>
      <w:lvlText w:val="30.%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6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2" w15:restartNumberingAfterBreak="0">
    <w:multiLevelType w:val="hybridMultilevel"/>
    <w:lvl w:ilvl="0" w15:tentative="1">
      <w:start w:val="1"/>
      <w:numFmt w:val="decimal"/>
      <w:lvlText w:val="31.%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63"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4" w15:restartNumberingAfterBreak="0">
    <w:multiLevelType w:val="hybridMultilevel"/>
    <w:lvl w:ilvl="0" w15:tentative="1">
      <w:start w:val="1"/>
      <w:numFmt w:val="decimal"/>
      <w:lvlText w:val="32.%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65"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6" w15:restartNumberingAfterBreak="0">
    <w:multiLevelType w:val="hybridMultilevel"/>
    <w:lvl w:ilvl="0" w15:tentative="1">
      <w:start w:val="1"/>
      <w:numFmt w:val="decimal"/>
      <w:lvlText w:val="33.%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67"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68" w15:restartNumberingAfterBreak="0">
    <w:multiLevelType w:val="hybridMultilevel"/>
    <w:lvl w:ilvl="0" w15:tentative="1">
      <w:start w:val="1"/>
      <w:numFmt w:val="decimal"/>
      <w:lvlText w:val="34.%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69"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abstractNum w:abstractNumId="70" w15:restartNumberingAfterBreak="0">
    <w:multiLevelType w:val="hybridMultilevel"/>
    <w:lvl w:ilvl="0" w15:tentative="1">
      <w:start w:val="1"/>
      <w:numFmt w:val="decimal"/>
      <w:lvlText w:val="35.%2."/>
      <w:lvlJc w:val="left"/>
      <w:pPr>
        <w:ind w:left="720" w:hanging="360"/>
      </w:pPr>
      <w:rPr>
        <w:rFonts w:ascii="Arial" w:cs="Arial" w:eastAsia="Arial" w:hAnsi="Arial"/>
        <w:sz w:val="22"/>
        <w:szCs w:val="22"/>
      </w:rPr>
    </w:lvl>
    <w:lvl w:ilvl="1" w15:tentative="1">
      <w:start w:val="1"/>
      <w:numFmt w:val="lowerLetter"/>
      <w:lvlText w:val="%2."/>
      <w:lvlJc w:val="left"/>
      <w:pPr>
        <w:ind w:left="1080" w:hanging="360"/>
      </w:pPr>
      <w:rPr>
        <w:rFonts w:ascii="Arial" w:cs="Arial" w:eastAsia="Arial" w:hAnsi="Arial"/>
        <w:sz w:val="22"/>
        <w:szCs w:val="22"/>
      </w:rPr>
    </w:lvl>
    <w:lvl w:ilvl="2" w15:tentative="1">
      <w:start w:val="1"/>
      <w:numFmt w:val="lowerRoman"/>
      <w:lvlText w:val="%3."/>
      <w:lvlJc w:val="left"/>
      <w:pPr>
        <w:ind w:left="1440" w:hanging="360"/>
      </w:pPr>
      <w:rPr>
        <w:rFonts w:ascii="Arial" w:cs="Arial" w:eastAsia="Arial" w:hAnsi="Arial"/>
        <w:sz w:val="22"/>
        <w:szCs w:val="22"/>
      </w:rPr>
    </w:lvl>
  </w:abstractNum>
  <w:abstractNum w:abstractNumId="71" w15:restartNumberingAfterBreak="0">
    <w:multiLevelType w:val="hybridMultilevel"/>
    <w:lvl w:ilvl="0" w15:tentative="1">
      <w:start w:val="1"/>
      <w:numFmt w:val="bullet"/>
      <w:lvlText w:val="•"/>
      <w:lvlJc w:val="left"/>
      <w:pPr>
        <w:ind w:left="720" w:hanging="360"/>
      </w:pPr>
      <w:rPr>
        <w:rFonts w:ascii="Symbol" w:cs="Symbol" w:eastAsia="Symbol" w:hAnsi="Symbol"/>
        <w:sz w:val="22"/>
        <w:szCs w:val="22"/>
      </w:rPr>
    </w:lvl>
  </w:abstractNum>
  <w:num w:numId="1">
    <w:abstractNumId w:val="1"/>
    <w:lvlOverride w:ilvl="0">
      <w:startOverride w:val="1"/>
    </w:lvlOverride>
  </w:num>
  <w:num w:numId="2">
    <w:abstractNumId w:val="10"/>
    <w:lvlOverride w:ilvl="0">
      <w:startOverride w:val="1"/>
    </w:lvlOverride>
  </w:num>
  <w:num w:numId="3">
    <w:abstractNumId w:val="12"/>
    <w:lvlOverride w:ilvl="0">
      <w:startOverride w:val="1"/>
    </w:lvlOverride>
  </w:num>
  <w:num w:numId="4">
    <w:abstractNumId w:val="18"/>
    <w:lvlOverride w:ilvl="0">
      <w:startOverride w:val="1"/>
    </w:lvlOverride>
  </w:num>
  <w:num w:numId="5">
    <w:abstractNumId w:val="20"/>
    <w:lvlOverride w:ilvl="0">
      <w:startOverride w:val="1"/>
    </w:lvlOverride>
  </w:num>
  <w:num w:numId="6">
    <w:abstractNumId w:val="21"/>
    <w:lvlOverride w:ilvl="0">
      <w:startOverride w:val="1"/>
    </w:lvlOverride>
  </w:num>
  <w:num w:numId="7">
    <w:abstractNumId w:val="24"/>
    <w:lvlOverride w:ilvl="0">
      <w:startOverride w:val="1"/>
    </w:lvlOverride>
  </w:num>
  <w:num w:numId="8">
    <w:abstractNumId w:val="26"/>
    <w:lvlOverride w:ilvl="0">
      <w:startOverride w:val="1"/>
    </w:lvlOverride>
  </w:num>
  <w:num w:numId="9">
    <w:abstractNumId w:val="28"/>
    <w:lvlOverride w:ilvl="0">
      <w:startOverride w:val="1"/>
    </w:lvlOverride>
  </w:num>
  <w:num w:numId="10">
    <w:abstractNumId w:val="30"/>
    <w:lvlOverride w:ilvl="0">
      <w:startOverride w:val="1"/>
    </w:lvlOverride>
  </w:num>
  <w:num w:numId="11">
    <w:abstractNumId w:val="32"/>
    <w:lvlOverride w:ilvl="0">
      <w:startOverride w:val="1"/>
    </w:lvlOverride>
  </w:num>
  <w:num w:numId="12">
    <w:abstractNumId w:val="36"/>
    <w:lvlOverride w:ilvl="0">
      <w:startOverride w:val="1"/>
    </w:lvlOverride>
  </w:num>
  <w:num w:numId="13">
    <w:abstractNumId w:val="38"/>
    <w:lvlOverride w:ilvl="0">
      <w:startOverride w:val="1"/>
    </w:lvlOverride>
  </w:num>
  <w:num w:numId="14">
    <w:abstractNumId w:val="40"/>
    <w:lvlOverride w:ilvl="0">
      <w:startOverride w:val="1"/>
    </w:lvlOverride>
  </w:num>
  <w:num w:numId="15">
    <w:abstractNumId w:val="44"/>
    <w:lvlOverride w:ilvl="0">
      <w:startOverride w:val="1"/>
    </w:lvlOverride>
  </w:num>
  <w:num w:numId="16">
    <w:abstractNumId w:val="46"/>
    <w:lvlOverride w:ilvl="0">
      <w:startOverride w:val="1"/>
    </w:lvlOverride>
  </w:num>
  <w:num w:numId="17">
    <w:abstractNumId w:val="48"/>
    <w:lvlOverride w:ilvl="0">
      <w:startOverride w:val="1"/>
    </w:lvlOverride>
  </w:num>
  <w:num w:numId="18">
    <w:abstractNumId w:val="50"/>
    <w:lvlOverride w:ilvl="0">
      <w:startOverride w:val="1"/>
    </w:lvlOverride>
  </w:num>
  <w:num w:numId="19">
    <w:abstractNumId w:val="52"/>
    <w:lvlOverride w:ilvl="0">
      <w:startOverride w:val="1"/>
    </w:lvlOverride>
  </w:num>
  <w:num w:numId="20">
    <w:abstractNumId w:val="54"/>
    <w:lvlOverride w:ilvl="0">
      <w:startOverride w:val="1"/>
    </w:lvlOverride>
  </w:num>
  <w:num w:numId="21">
    <w:abstractNumId w:val="56"/>
    <w:lvlOverride w:ilvl="0">
      <w:startOverride w:val="1"/>
    </w:lvlOverride>
  </w:num>
  <w:num w:numId="22">
    <w:abstractNumId w:val="58"/>
    <w:lvlOverride w:ilvl="0">
      <w:startOverride w:val="1"/>
    </w:lvlOverride>
  </w:num>
  <w:num w:numId="23">
    <w:abstractNumId w:val="61"/>
    <w:lvlOverride w:ilvl="0">
      <w:startOverride w:val="1"/>
    </w:lvlOverride>
  </w:num>
  <w:num w:numId="24">
    <w:abstractNumId w:val="62"/>
    <w:lvlOverride w:ilvl="0">
      <w:startOverride w:val="1"/>
    </w:lvlOverride>
  </w:num>
  <w:num w:numId="25">
    <w:abstractNumId w:val="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D2B4E"/>
      <w:sz w:val="28"/>
      <w:szCs w:val="28"/>
    </w:rPr>
  </w:style>
  <w:style w:type="paragraph" w:styleId="Heading2">
    <w:name w:val="Heading 2"/>
    <w:basedOn w:val="Normal"/>
    <w:next w:val="Normal"/>
    <w:qFormat/>
    <w:pPr>
      <w:spacing w:after="120" w:before="300"/>
      <w:outlineLvl w:val="1"/>
    </w:pPr>
    <w:rPr>
      <w:rFonts w:ascii="Arial" w:cs="Arial" w:eastAsia="Arial" w:hAnsi="Arial"/>
      <w:b/>
      <w:bCs/>
      <w:color w:val="0E7490"/>
      <w:sz w:val="24"/>
      <w:szCs w:val="24"/>
    </w:rPr>
  </w:style>
  <w:style w:type="paragraph" w:styleId="Heading3">
    <w:name w:val="Heading 3"/>
    <w:basedOn w:val="Normal"/>
    <w:next w:val="Normal"/>
    <w:qFormat/>
    <w:pPr>
      <w:spacing w:after="100" w:before="200"/>
      <w:outlineLvl w:val="2"/>
    </w:pPr>
    <w:rPr>
      <w:rFonts w:ascii="Arial" w:cs="Arial" w:eastAsia="Arial" w:hAnsi="Arial"/>
      <w:b/>
      <w:bCs/>
      <w:color w:val="0D2B4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2026-04-11T22:26:53.252Z</dcterms:created>
  <dcterms:modified xsi:type="dcterms:W3CDTF">2026-04-11T22:26:53.253Z</dcterms:modified>
</cp:coreProperties>
</file>

<file path=docProps/custom.xml><?xml version="1.0" encoding="utf-8"?>
<Properties xmlns="http://schemas.openxmlformats.org/officeDocument/2006/custom-properties" xmlns:vt="http://schemas.openxmlformats.org/officeDocument/2006/docPropsVTypes"/>
</file>